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Calibri" w:cs="Calibri" w:eastAsia="Calibri" w:hAnsi="Calibri"/>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-190498</wp:posOffset>
            </wp:positionH>
            <wp:positionV relativeFrom="paragraph">
              <wp:posOffset>0</wp:posOffset>
            </wp:positionV>
            <wp:extent cx="1514475" cy="720090"/>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514475" cy="7200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-38099</wp:posOffset>
                </wp:positionV>
                <wp:extent cx="1806695" cy="390525"/>
                <wp:effectExtent b="0" l="0" r="0" t="0"/>
                <wp:wrapNone/>
                <wp:docPr id="3" name=""/>
                <a:graphic>
                  <a:graphicData uri="http://schemas.microsoft.com/office/word/2010/wordprocessingShape">
                    <wps:wsp>
                      <wps:cNvSpPr/>
                      <wps:cNvPr id="2" name="Shape 2"/>
                      <wps:spPr>
                        <a:xfrm>
                          <a:off x="4447415" y="3589500"/>
                          <a:ext cx="1797170" cy="38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Tahoma" w:cs="Tahoma" w:eastAsia="Tahoma" w:hAnsi="Tahoma"/>
                                <w:b w:val="0"/>
                                <w:i w:val="0"/>
                                <w:smallCaps w:val="0"/>
                                <w:strike w:val="0"/>
                                <w:color w:val="000000"/>
                                <w:sz w:val="18"/>
                                <w:vertAlign w:val="baseline"/>
                              </w:rPr>
                              <w:t xml:space="preserve">Programa orientado por competencias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-38099</wp:posOffset>
                </wp:positionV>
                <wp:extent cx="1806695" cy="390525"/>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806695" cy="390525"/>
                        </a:xfrm>
                        <a:prstGeom prst="rect"/>
                        <a:ln/>
                      </pic:spPr>
                    </pic:pic>
                  </a:graphicData>
                </a:graphic>
              </wp:anchor>
            </w:drawing>
          </mc:Fallback>
        </mc:AlternateContent>
      </w:r>
    </w:p>
    <w:p w:rsidR="00000000" w:rsidDel="00000000" w:rsidP="00000000" w:rsidRDefault="00000000" w:rsidRPr="00000000" w14:paraId="00000002">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3">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4">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ind w:left="0" w:hanging="2"/>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ind w:left="0" w:hanging="2"/>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Programa de Asignatura</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jc w:val="center"/>
        <w:rPr>
          <w:rFonts w:ascii="Calibri" w:cs="Calibri" w:eastAsia="Calibri" w:hAnsi="Calibri"/>
          <w:color w:val="ff0000"/>
          <w:sz w:val="24"/>
          <w:szCs w:val="24"/>
        </w:rPr>
      </w:pPr>
      <w:r w:rsidDel="00000000" w:rsidR="00000000" w:rsidRPr="00000000">
        <w:rPr>
          <w:rFonts w:ascii="Calibri" w:cs="Calibri" w:eastAsia="Calibri" w:hAnsi="Calibri"/>
          <w:b w:val="1"/>
          <w:color w:val="000000"/>
          <w:sz w:val="24"/>
          <w:szCs w:val="24"/>
          <w:highlight w:val="white"/>
          <w:rtl w:val="0"/>
        </w:rPr>
        <w:t xml:space="preserve">METHODS AND APPROACHES IN ELT </w:t>
      </w:r>
      <w:r w:rsidDel="00000000" w:rsidR="00000000" w:rsidRPr="00000000">
        <w:rPr>
          <w:rtl w:val="0"/>
        </w:rPr>
      </w:r>
    </w:p>
    <w:p w:rsidR="00000000" w:rsidDel="00000000" w:rsidP="00000000" w:rsidRDefault="00000000" w:rsidRPr="00000000" w14:paraId="00000008">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 Antecedentes Generales</w:t>
      </w:r>
      <w:r w:rsidDel="00000000" w:rsidR="00000000" w:rsidRPr="00000000">
        <w:rPr>
          <w:rtl w:val="0"/>
        </w:rPr>
      </w:r>
    </w:p>
    <w:p w:rsidR="00000000" w:rsidDel="00000000" w:rsidP="00000000" w:rsidRDefault="00000000" w:rsidRPr="00000000" w14:paraId="0000000A">
      <w:pPr>
        <w:ind w:left="0" w:hanging="2"/>
        <w:rPr>
          <w:rFonts w:ascii="Calibri" w:cs="Calibri" w:eastAsia="Calibri" w:hAnsi="Calibri"/>
          <w:sz w:val="22"/>
          <w:szCs w:val="22"/>
        </w:rPr>
      </w:pPr>
      <w:r w:rsidDel="00000000" w:rsidR="00000000" w:rsidRPr="00000000">
        <w:rPr>
          <w:rtl w:val="0"/>
        </w:rPr>
      </w:r>
    </w:p>
    <w:tbl>
      <w:tblPr>
        <w:tblStyle w:val="Table1"/>
        <w:tblW w:w="8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1446"/>
        <w:gridCol w:w="567"/>
        <w:gridCol w:w="1701"/>
        <w:gridCol w:w="567"/>
        <w:gridCol w:w="704"/>
        <w:gridCol w:w="572"/>
        <w:gridCol w:w="613"/>
        <w:tblGridChange w:id="0">
          <w:tblGrid>
            <w:gridCol w:w="2660"/>
            <w:gridCol w:w="1446"/>
            <w:gridCol w:w="567"/>
            <w:gridCol w:w="1701"/>
            <w:gridCol w:w="567"/>
            <w:gridCol w:w="704"/>
            <w:gridCol w:w="572"/>
            <w:gridCol w:w="613"/>
          </w:tblGrid>
        </w:tblGridChange>
      </w:tblGrid>
      <w:tr>
        <w:tc>
          <w:tcPr/>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Unidad Académica</w:t>
            </w:r>
            <w:r w:rsidDel="00000000" w:rsidR="00000000" w:rsidRPr="00000000">
              <w:rPr>
                <w:rtl w:val="0"/>
              </w:rPr>
            </w:r>
          </w:p>
        </w:tc>
        <w:tc>
          <w:tcPr>
            <w:gridSpan w:val="7"/>
          </w:tcPr>
          <w:p w:rsidR="00000000" w:rsidDel="00000000" w:rsidP="00000000" w:rsidRDefault="00000000" w:rsidRPr="00000000" w14:paraId="0000000C">
            <w:pPr>
              <w:ind w:left="0" w:hanging="2"/>
              <w:rPr/>
            </w:pPr>
            <w:r w:rsidDel="00000000" w:rsidR="00000000" w:rsidRPr="00000000">
              <w:rPr>
                <w:rtl w:val="0"/>
              </w:rPr>
              <w:t xml:space="preserve">FACULTAD DE EDUCACIÓN </w:t>
            </w:r>
          </w:p>
        </w:tc>
      </w:tr>
      <w:tr>
        <w:tc>
          <w:tcPr/>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Carrera</w:t>
            </w:r>
            <w:r w:rsidDel="00000000" w:rsidR="00000000" w:rsidRPr="00000000">
              <w:rPr>
                <w:rtl w:val="0"/>
              </w:rPr>
            </w:r>
          </w:p>
        </w:tc>
        <w:tc>
          <w:tcPr>
            <w:gridSpan w:val="7"/>
          </w:tcPr>
          <w:p w:rsidR="00000000" w:rsidDel="00000000" w:rsidP="00000000" w:rsidRDefault="00000000" w:rsidRPr="00000000" w14:paraId="00000014">
            <w:pPr>
              <w:ind w:left="0" w:hanging="2"/>
              <w:rPr/>
            </w:pPr>
            <w:r w:rsidDel="00000000" w:rsidR="00000000" w:rsidRPr="00000000">
              <w:rPr>
                <w:rtl w:val="0"/>
              </w:rPr>
              <w:t xml:space="preserve">PEDAGOGÍA EN EDUCACIÓN BÁSICA CON MENCIÓN INGLÉS</w:t>
            </w:r>
          </w:p>
        </w:tc>
      </w:tr>
      <w:tr>
        <w:tc>
          <w:tcPr/>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Código </w:t>
            </w:r>
            <w:r w:rsidDel="00000000" w:rsidR="00000000" w:rsidRPr="00000000">
              <w:rPr>
                <w:rtl w:val="0"/>
              </w:rPr>
            </w:r>
          </w:p>
        </w:tc>
        <w:tc>
          <w:tcPr>
            <w:gridSpan w:val="7"/>
          </w:tcPr>
          <w:p w:rsidR="00000000" w:rsidDel="00000000" w:rsidP="00000000" w:rsidRDefault="00000000" w:rsidRPr="00000000" w14:paraId="0000001C">
            <w:pPr>
              <w:ind w:left="0" w:hanging="2"/>
              <w:rPr/>
            </w:pPr>
            <w:r w:rsidDel="00000000" w:rsidR="00000000" w:rsidRPr="00000000">
              <w:rPr>
                <w:rFonts w:ascii="Calibri" w:cs="Calibri" w:eastAsia="Calibri" w:hAnsi="Calibri"/>
                <w:sz w:val="22"/>
                <w:szCs w:val="22"/>
                <w:rtl w:val="0"/>
              </w:rPr>
              <w:t xml:space="preserve">EBI328</w:t>
            </w:r>
            <w:r w:rsidDel="00000000" w:rsidR="00000000" w:rsidRPr="00000000">
              <w:rPr>
                <w:rtl w:val="0"/>
              </w:rPr>
            </w:r>
          </w:p>
        </w:tc>
      </w:tr>
      <w:tr>
        <w:tc>
          <w:tcPr/>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Ubicación en la malla</w:t>
            </w:r>
            <w:r w:rsidDel="00000000" w:rsidR="00000000" w:rsidRPr="00000000">
              <w:rPr>
                <w:rtl w:val="0"/>
              </w:rPr>
            </w:r>
          </w:p>
        </w:tc>
        <w:tc>
          <w:tcPr>
            <w:gridSpan w:val="7"/>
          </w:tcPr>
          <w:p w:rsidR="00000000" w:rsidDel="00000000" w:rsidP="00000000" w:rsidRDefault="00000000" w:rsidRPr="00000000" w14:paraId="00000024">
            <w:pPr>
              <w:ind w:left="0" w:hanging="2"/>
              <w:rPr/>
            </w:pPr>
            <w:r w:rsidDel="00000000" w:rsidR="00000000" w:rsidRPr="00000000">
              <w:rPr>
                <w:color w:val="ff0000"/>
                <w:rtl w:val="0"/>
              </w:rPr>
              <w:t xml:space="preserve"> </w:t>
            </w:r>
            <w:r w:rsidDel="00000000" w:rsidR="00000000" w:rsidRPr="00000000">
              <w:rPr>
                <w:rtl w:val="0"/>
              </w:rPr>
              <w:t xml:space="preserve">III° Año, VI° Semestre</w:t>
            </w:r>
          </w:p>
        </w:tc>
      </w:tr>
      <w:tr>
        <w:tc>
          <w:tcPr/>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Créditos</w:t>
            </w:r>
            <w:r w:rsidDel="00000000" w:rsidR="00000000" w:rsidRPr="00000000">
              <w:rPr>
                <w:rtl w:val="0"/>
              </w:rPr>
            </w:r>
          </w:p>
        </w:tc>
        <w:tc>
          <w:tcPr>
            <w:gridSpan w:val="7"/>
          </w:tcPr>
          <w:p w:rsidR="00000000" w:rsidDel="00000000" w:rsidP="00000000" w:rsidRDefault="00000000" w:rsidRPr="00000000" w14:paraId="0000002C">
            <w:pPr>
              <w:ind w:left="0" w:hanging="2"/>
              <w:rPr/>
            </w:pPr>
            <w:r w:rsidDel="00000000" w:rsidR="00000000" w:rsidRPr="00000000">
              <w:rPr>
                <w:rtl w:val="0"/>
              </w:rPr>
              <w:t xml:space="preserve">12</w:t>
            </w:r>
          </w:p>
        </w:tc>
      </w:tr>
      <w:tr>
        <w:tc>
          <w:tcPr/>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Tipo de asignatura </w:t>
            </w:r>
            <w:r w:rsidDel="00000000" w:rsidR="00000000" w:rsidRPr="00000000">
              <w:rPr>
                <w:rtl w:val="0"/>
              </w:rPr>
            </w:r>
          </w:p>
        </w:tc>
        <w:tc>
          <w:tcPr/>
          <w:p w:rsidR="00000000" w:rsidDel="00000000" w:rsidP="00000000" w:rsidRDefault="00000000" w:rsidRPr="00000000" w14:paraId="00000034">
            <w:pPr>
              <w:ind w:left="0" w:hanging="2"/>
              <w:rPr/>
            </w:pPr>
            <w:r w:rsidDel="00000000" w:rsidR="00000000" w:rsidRPr="00000000">
              <w:rPr>
                <w:rtl w:val="0"/>
              </w:rPr>
              <w:t xml:space="preserve">Obligatorio </w:t>
            </w:r>
          </w:p>
        </w:tc>
        <w:tc>
          <w:tcPr/>
          <w:p w:rsidR="00000000" w:rsidDel="00000000" w:rsidP="00000000" w:rsidRDefault="00000000" w:rsidRPr="00000000" w14:paraId="00000035">
            <w:pPr>
              <w:ind w:left="0" w:hanging="2"/>
              <w:rPr/>
            </w:pPr>
            <w:r w:rsidDel="00000000" w:rsidR="00000000" w:rsidRPr="00000000">
              <w:rPr>
                <w:rtl w:val="0"/>
              </w:rPr>
              <w:t xml:space="preserve">x</w:t>
            </w:r>
          </w:p>
        </w:tc>
        <w:tc>
          <w:tcPr/>
          <w:p w:rsidR="00000000" w:rsidDel="00000000" w:rsidP="00000000" w:rsidRDefault="00000000" w:rsidRPr="00000000" w14:paraId="00000036">
            <w:pPr>
              <w:ind w:left="0" w:hanging="2"/>
              <w:rPr/>
            </w:pPr>
            <w:r w:rsidDel="00000000" w:rsidR="00000000" w:rsidRPr="00000000">
              <w:rPr>
                <w:rtl w:val="0"/>
              </w:rPr>
              <w:t xml:space="preserve">Electivo </w:t>
            </w:r>
          </w:p>
        </w:tc>
        <w:tc>
          <w:tcPr/>
          <w:p w:rsidR="00000000" w:rsidDel="00000000" w:rsidP="00000000" w:rsidRDefault="00000000" w:rsidRPr="00000000" w14:paraId="00000037">
            <w:pPr>
              <w:ind w:left="0" w:hanging="2"/>
              <w:rPr/>
            </w:pPr>
            <w:r w:rsidDel="00000000" w:rsidR="00000000" w:rsidRPr="00000000">
              <w:rPr>
                <w:rtl w:val="0"/>
              </w:rPr>
            </w:r>
          </w:p>
        </w:tc>
        <w:tc>
          <w:tcPr>
            <w:gridSpan w:val="2"/>
          </w:tcPr>
          <w:p w:rsidR="00000000" w:rsidDel="00000000" w:rsidP="00000000" w:rsidRDefault="00000000" w:rsidRPr="00000000" w14:paraId="00000038">
            <w:pPr>
              <w:ind w:left="0" w:hanging="2"/>
              <w:rPr/>
            </w:pPr>
            <w:r w:rsidDel="00000000" w:rsidR="00000000" w:rsidRPr="00000000">
              <w:rPr>
                <w:rtl w:val="0"/>
              </w:rPr>
              <w:t xml:space="preserve">Optativo</w:t>
            </w:r>
          </w:p>
        </w:tc>
        <w:tc>
          <w:tcPr/>
          <w:p w:rsidR="00000000" w:rsidDel="00000000" w:rsidP="00000000" w:rsidRDefault="00000000" w:rsidRPr="00000000" w14:paraId="0000003A">
            <w:pPr>
              <w:ind w:left="0" w:hanging="2"/>
              <w:rPr/>
            </w:pPr>
            <w:r w:rsidDel="00000000" w:rsidR="00000000" w:rsidRPr="00000000">
              <w:rPr>
                <w:rtl w:val="0"/>
              </w:rPr>
            </w:r>
          </w:p>
        </w:tc>
      </w:tr>
      <w:tr>
        <w:tc>
          <w:tcPr/>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Duración</w:t>
            </w:r>
            <w:r w:rsidDel="00000000" w:rsidR="00000000" w:rsidRPr="00000000">
              <w:rPr>
                <w:rtl w:val="0"/>
              </w:rPr>
            </w:r>
          </w:p>
        </w:tc>
        <w:tc>
          <w:tcPr/>
          <w:p w:rsidR="00000000" w:rsidDel="00000000" w:rsidP="00000000" w:rsidRDefault="00000000" w:rsidRPr="00000000" w14:paraId="0000003C">
            <w:pPr>
              <w:ind w:left="0" w:hanging="2"/>
              <w:rPr/>
            </w:pPr>
            <w:r w:rsidDel="00000000" w:rsidR="00000000" w:rsidRPr="00000000">
              <w:rPr>
                <w:rtl w:val="0"/>
              </w:rPr>
              <w:t xml:space="preserve">Bimestral</w:t>
            </w:r>
          </w:p>
        </w:tc>
        <w:tc>
          <w:tcPr/>
          <w:p w:rsidR="00000000" w:rsidDel="00000000" w:rsidP="00000000" w:rsidRDefault="00000000" w:rsidRPr="00000000" w14:paraId="0000003D">
            <w:pPr>
              <w:ind w:left="0" w:hanging="2"/>
              <w:jc w:val="center"/>
              <w:rPr/>
            </w:pPr>
            <w:r w:rsidDel="00000000" w:rsidR="00000000" w:rsidRPr="00000000">
              <w:rPr>
                <w:rtl w:val="0"/>
              </w:rPr>
            </w:r>
          </w:p>
        </w:tc>
        <w:tc>
          <w:tcPr/>
          <w:p w:rsidR="00000000" w:rsidDel="00000000" w:rsidP="00000000" w:rsidRDefault="00000000" w:rsidRPr="00000000" w14:paraId="0000003E">
            <w:pPr>
              <w:ind w:left="0" w:hanging="2"/>
              <w:rPr/>
            </w:pPr>
            <w:r w:rsidDel="00000000" w:rsidR="00000000" w:rsidRPr="00000000">
              <w:rPr>
                <w:rtl w:val="0"/>
              </w:rPr>
              <w:t xml:space="preserve">Semestral</w:t>
            </w:r>
          </w:p>
        </w:tc>
        <w:tc>
          <w:tcPr/>
          <w:p w:rsidR="00000000" w:rsidDel="00000000" w:rsidP="00000000" w:rsidRDefault="00000000" w:rsidRPr="00000000" w14:paraId="0000003F">
            <w:pPr>
              <w:ind w:left="0" w:hanging="2"/>
              <w:jc w:val="center"/>
              <w:rPr/>
            </w:pPr>
            <w:r w:rsidDel="00000000" w:rsidR="00000000" w:rsidRPr="00000000">
              <w:rPr>
                <w:rtl w:val="0"/>
              </w:rPr>
              <w:t xml:space="preserve">x</w:t>
            </w:r>
          </w:p>
        </w:tc>
        <w:tc>
          <w:tcPr>
            <w:gridSpan w:val="2"/>
          </w:tcPr>
          <w:p w:rsidR="00000000" w:rsidDel="00000000" w:rsidP="00000000" w:rsidRDefault="00000000" w:rsidRPr="00000000" w14:paraId="00000040">
            <w:pPr>
              <w:ind w:left="0" w:hanging="2"/>
              <w:rPr/>
            </w:pPr>
            <w:r w:rsidDel="00000000" w:rsidR="00000000" w:rsidRPr="00000000">
              <w:rPr>
                <w:rtl w:val="0"/>
              </w:rPr>
              <w:t xml:space="preserve">Anual</w:t>
            </w:r>
          </w:p>
        </w:tc>
        <w:tc>
          <w:tcPr/>
          <w:p w:rsidR="00000000" w:rsidDel="00000000" w:rsidP="00000000" w:rsidRDefault="00000000" w:rsidRPr="00000000" w14:paraId="00000042">
            <w:pPr>
              <w:ind w:left="0" w:hanging="2"/>
              <w:jc w:val="center"/>
              <w:rPr/>
            </w:pPr>
            <w:r w:rsidDel="00000000" w:rsidR="00000000" w:rsidRPr="00000000">
              <w:rPr>
                <w:rtl w:val="0"/>
              </w:rPr>
            </w:r>
          </w:p>
        </w:tc>
      </w:tr>
      <w:tr>
        <w:tc>
          <w:tcPr/>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Módulos semanales</w:t>
            </w:r>
            <w:r w:rsidDel="00000000" w:rsidR="00000000" w:rsidRPr="00000000">
              <w:rPr>
                <w:rtl w:val="0"/>
              </w:rPr>
            </w:r>
          </w:p>
        </w:tc>
        <w:tc>
          <w:tcPr/>
          <w:p w:rsidR="00000000" w:rsidDel="00000000" w:rsidP="00000000" w:rsidRDefault="00000000" w:rsidRPr="00000000" w14:paraId="00000044">
            <w:pPr>
              <w:ind w:left="0" w:hanging="2"/>
              <w:rPr/>
            </w:pPr>
            <w:r w:rsidDel="00000000" w:rsidR="00000000" w:rsidRPr="00000000">
              <w:rPr>
                <w:rtl w:val="0"/>
              </w:rPr>
              <w:t xml:space="preserve">Clases teóricas</w:t>
            </w:r>
          </w:p>
        </w:tc>
        <w:tc>
          <w:tcPr/>
          <w:p w:rsidR="00000000" w:rsidDel="00000000" w:rsidP="00000000" w:rsidRDefault="00000000" w:rsidRPr="00000000" w14:paraId="00000045">
            <w:pPr>
              <w:ind w:left="0" w:hanging="2"/>
              <w:jc w:val="center"/>
              <w:rPr/>
            </w:pPr>
            <w:r w:rsidDel="00000000" w:rsidR="00000000" w:rsidRPr="00000000">
              <w:rPr>
                <w:rtl w:val="0"/>
              </w:rPr>
              <w:t xml:space="preserve">2</w:t>
            </w:r>
          </w:p>
        </w:tc>
        <w:tc>
          <w:tcPr/>
          <w:p w:rsidR="00000000" w:rsidDel="00000000" w:rsidP="00000000" w:rsidRDefault="00000000" w:rsidRPr="00000000" w14:paraId="00000046">
            <w:pPr>
              <w:ind w:left="0" w:hanging="2"/>
              <w:rPr/>
            </w:pPr>
            <w:r w:rsidDel="00000000" w:rsidR="00000000" w:rsidRPr="00000000">
              <w:rPr>
                <w:rtl w:val="0"/>
              </w:rPr>
              <w:t xml:space="preserve">Clases prácticas</w:t>
            </w:r>
          </w:p>
        </w:tc>
        <w:tc>
          <w:tcPr/>
          <w:p w:rsidR="00000000" w:rsidDel="00000000" w:rsidP="00000000" w:rsidRDefault="00000000" w:rsidRPr="00000000" w14:paraId="00000047">
            <w:pPr>
              <w:ind w:left="0" w:hanging="2"/>
              <w:jc w:val="center"/>
              <w:rPr/>
            </w:pPr>
            <w:r w:rsidDel="00000000" w:rsidR="00000000" w:rsidRPr="00000000">
              <w:rPr>
                <w:rtl w:val="0"/>
              </w:rPr>
              <w:t xml:space="preserve">1</w:t>
            </w:r>
          </w:p>
        </w:tc>
        <w:tc>
          <w:tcPr>
            <w:gridSpan w:val="2"/>
          </w:tcPr>
          <w:p w:rsidR="00000000" w:rsidDel="00000000" w:rsidP="00000000" w:rsidRDefault="00000000" w:rsidRPr="00000000" w14:paraId="00000048">
            <w:pPr>
              <w:ind w:left="0" w:hanging="2"/>
              <w:rPr/>
            </w:pPr>
            <w:r w:rsidDel="00000000" w:rsidR="00000000" w:rsidRPr="00000000">
              <w:rPr>
                <w:rtl w:val="0"/>
              </w:rPr>
              <w:t xml:space="preserve">Ayudantías</w:t>
            </w:r>
          </w:p>
        </w:tc>
        <w:tc>
          <w:tcPr/>
          <w:p w:rsidR="00000000" w:rsidDel="00000000" w:rsidP="00000000" w:rsidRDefault="00000000" w:rsidRPr="00000000" w14:paraId="0000004A">
            <w:pPr>
              <w:ind w:left="0" w:hanging="2"/>
              <w:jc w:val="center"/>
              <w:rPr/>
            </w:pPr>
            <w:r w:rsidDel="00000000" w:rsidR="00000000" w:rsidRPr="00000000">
              <w:rPr>
                <w:rtl w:val="0"/>
              </w:rPr>
              <w:t xml:space="preserve">1</w:t>
            </w:r>
          </w:p>
        </w:tc>
      </w:tr>
      <w:tr>
        <w:tc>
          <w:tcPr/>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Horas académicas</w:t>
            </w:r>
            <w:r w:rsidDel="00000000" w:rsidR="00000000" w:rsidRPr="00000000">
              <w:rPr>
                <w:rtl w:val="0"/>
              </w:rPr>
            </w:r>
          </w:p>
        </w:tc>
        <w:tc>
          <w:tcPr/>
          <w:p w:rsidR="00000000" w:rsidDel="00000000" w:rsidP="00000000" w:rsidRDefault="00000000" w:rsidRPr="00000000" w14:paraId="0000004C">
            <w:pPr>
              <w:ind w:left="0" w:hanging="2"/>
              <w:jc w:val="right"/>
              <w:rPr/>
            </w:pPr>
            <w:r w:rsidDel="00000000" w:rsidR="00000000" w:rsidRPr="00000000">
              <w:rPr>
                <w:rtl w:val="0"/>
              </w:rPr>
              <w:t xml:space="preserve">Clases</w:t>
            </w:r>
          </w:p>
        </w:tc>
        <w:tc>
          <w:tcPr/>
          <w:p w:rsidR="00000000" w:rsidDel="00000000" w:rsidP="00000000" w:rsidRDefault="00000000" w:rsidRPr="00000000" w14:paraId="0000004D">
            <w:pPr>
              <w:ind w:left="0" w:hanging="2"/>
              <w:jc w:val="right"/>
              <w:rPr/>
            </w:pPr>
            <w:r w:rsidDel="00000000" w:rsidR="00000000" w:rsidRPr="00000000">
              <w:rPr>
                <w:rtl w:val="0"/>
              </w:rPr>
              <w:t xml:space="preserve">68</w:t>
            </w:r>
          </w:p>
        </w:tc>
        <w:tc>
          <w:tcPr>
            <w:gridSpan w:val="3"/>
          </w:tcPr>
          <w:p w:rsidR="00000000" w:rsidDel="00000000" w:rsidP="00000000" w:rsidRDefault="00000000" w:rsidRPr="00000000" w14:paraId="0000004E">
            <w:pPr>
              <w:ind w:left="0" w:hanging="2"/>
              <w:jc w:val="right"/>
              <w:rPr/>
            </w:pPr>
            <w:r w:rsidDel="00000000" w:rsidR="00000000" w:rsidRPr="00000000">
              <w:rPr>
                <w:rtl w:val="0"/>
              </w:rPr>
              <w:t xml:space="preserve">Ayudantía</w:t>
            </w:r>
          </w:p>
        </w:tc>
        <w:tc>
          <w:tcPr>
            <w:gridSpan w:val="2"/>
          </w:tcPr>
          <w:p w:rsidR="00000000" w:rsidDel="00000000" w:rsidP="00000000" w:rsidRDefault="00000000" w:rsidRPr="00000000" w14:paraId="00000051">
            <w:pPr>
              <w:ind w:left="0" w:hanging="2"/>
              <w:rPr/>
            </w:pPr>
            <w:r w:rsidDel="00000000" w:rsidR="00000000" w:rsidRPr="00000000">
              <w:rPr>
                <w:rtl w:val="0"/>
              </w:rPr>
              <w:t xml:space="preserve">34</w:t>
            </w:r>
          </w:p>
        </w:tc>
      </w:tr>
      <w:tr>
        <w:tc>
          <w:tcPr/>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Pre-requisito</w:t>
            </w:r>
            <w:r w:rsidDel="00000000" w:rsidR="00000000" w:rsidRPr="00000000">
              <w:rPr>
                <w:rtl w:val="0"/>
              </w:rPr>
            </w:r>
          </w:p>
        </w:tc>
        <w:tc>
          <w:tcPr>
            <w:gridSpan w:val="7"/>
          </w:tcPr>
          <w:p w:rsidR="00000000" w:rsidDel="00000000" w:rsidP="00000000" w:rsidRDefault="00000000" w:rsidRPr="00000000" w14:paraId="00000054">
            <w:pPr>
              <w:ind w:left="0" w:hanging="2"/>
              <w:jc w:val="both"/>
              <w:rPr/>
            </w:pPr>
            <w:r w:rsidDel="00000000" w:rsidR="00000000" w:rsidRPr="00000000">
              <w:rPr>
                <w:rtl w:val="0"/>
              </w:rPr>
              <w:t xml:space="preserve">English Language Learning III, English Grammar, English Phonetics.</w:t>
            </w:r>
          </w:p>
        </w:tc>
      </w:tr>
    </w:tbl>
    <w:p w:rsidR="00000000" w:rsidDel="00000000" w:rsidP="00000000" w:rsidRDefault="00000000" w:rsidRPr="00000000" w14:paraId="0000005B">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 Aporte al Perfil de Egreso</w:t>
      </w:r>
      <w:r w:rsidDel="00000000" w:rsidR="00000000" w:rsidRPr="00000000">
        <w:rPr>
          <w:rtl w:val="0"/>
        </w:rPr>
      </w:r>
    </w:p>
    <w:p w:rsidR="00000000" w:rsidDel="00000000" w:rsidP="00000000" w:rsidRDefault="00000000" w:rsidRPr="00000000" w14:paraId="0000005D">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El curso tiene como propósito que el futuro profesor adquiera las bases teóricas y prácticas de la metodología para la enseñanza del inglés como lengua extranjera. Para lograr este objetivo general, se abordará las cuatro habilidades del inglés: </w:t>
      </w:r>
      <w:r w:rsidDel="00000000" w:rsidR="00000000" w:rsidRPr="00000000">
        <w:rPr>
          <w:rFonts w:ascii="Calibri" w:cs="Calibri" w:eastAsia="Calibri" w:hAnsi="Calibri"/>
          <w:sz w:val="22"/>
          <w:szCs w:val="22"/>
          <w:highlight w:val="white"/>
          <w:rtl w:val="0"/>
        </w:rPr>
        <w:t xml:space="preserve">comprensión</w:t>
      </w:r>
      <w:r w:rsidDel="00000000" w:rsidR="00000000" w:rsidRPr="00000000">
        <w:rPr>
          <w:rFonts w:ascii="Calibri" w:cs="Calibri" w:eastAsia="Calibri" w:hAnsi="Calibri"/>
          <w:color w:val="000000"/>
          <w:sz w:val="22"/>
          <w:szCs w:val="22"/>
          <w:highlight w:val="white"/>
          <w:rtl w:val="0"/>
        </w:rPr>
        <w:t xml:space="preserve"> lectora y auditiva, producción escrita y oral</w:t>
      </w:r>
      <w:r w:rsidDel="00000000" w:rsidR="00000000" w:rsidRPr="00000000">
        <w:rPr>
          <w:rFonts w:ascii="Calibri" w:cs="Calibri" w:eastAsia="Calibri" w:hAnsi="Calibri"/>
          <w:i w:val="1"/>
          <w:color w:val="000000"/>
          <w:sz w:val="22"/>
          <w:szCs w:val="22"/>
          <w:highlight w:val="white"/>
          <w:rtl w:val="0"/>
        </w:rPr>
        <w:t xml:space="preserve">, </w:t>
      </w:r>
      <w:r w:rsidDel="00000000" w:rsidR="00000000" w:rsidRPr="00000000">
        <w:rPr>
          <w:rFonts w:ascii="Calibri" w:cs="Calibri" w:eastAsia="Calibri" w:hAnsi="Calibri"/>
          <w:color w:val="000000"/>
          <w:sz w:val="22"/>
          <w:szCs w:val="22"/>
          <w:highlight w:val="white"/>
          <w:rtl w:val="0"/>
        </w:rPr>
        <w:t xml:space="preserve">de manera integrada para fomentar el desarrollo de las habilidades cognitivas de orden superior y competencias comunicativas tanto en el futuro docente, así como en los estudiantes de enseñanza básica. En esta asignatura el alumno aprenderá los principales enfoques y métodos que le permitirán enseñar este idioma extranjero de acuerdo con las necesidades de los contextos específicos en los que se desempeñe. Los contenidos del curso se han organizado en cuatro dimensiones temáticas que tributan al aprendizaje de la lengua y se articulan mediante la enseñanza de esta.</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highlight w:val="whit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Dado el carácter teórico-práctico de la asignatura, se espera que el alumno </w:t>
      </w:r>
      <w:r w:rsidDel="00000000" w:rsidR="00000000" w:rsidRPr="00000000">
        <w:rPr>
          <w:rFonts w:ascii="Calibri" w:cs="Calibri" w:eastAsia="Calibri" w:hAnsi="Calibri"/>
          <w:color w:val="000000"/>
          <w:sz w:val="22"/>
          <w:szCs w:val="22"/>
          <w:highlight w:val="white"/>
          <w:rtl w:val="0"/>
        </w:rPr>
        <w:t xml:space="preserve">demuestre</w:t>
      </w:r>
      <w:r w:rsidDel="00000000" w:rsidR="00000000" w:rsidRPr="00000000">
        <w:rPr>
          <w:rFonts w:ascii="Calibri" w:cs="Calibri" w:eastAsia="Calibri" w:hAnsi="Calibri"/>
          <w:color w:val="000000"/>
          <w:sz w:val="22"/>
          <w:szCs w:val="22"/>
          <w:highlight w:val="white"/>
          <w:rtl w:val="0"/>
        </w:rPr>
        <w:t xml:space="preserve"> un creciente grado de proactividad, autonomía y reflexión crítica a lo largo de ésta. Además de los contenidos mínimos, creará su propio set de lecturas complementarias (portafolio) para reforzar conocimientos y fundamentar sus opiniones. Para una puesta en práctica tomará parte en instancias individuales y grupales de reflexión crítica tales como ensayos, foros de discusión (presencial y virtual), evaluación de charlas, etc.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ind w:left="0" w:hanging="2"/>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2">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asignatura tributa a las competencias genéricas del perfil de egreso de Visión Analítica, Eficiencia, ética y a las siguientes competencias específicas:</w:t>
      </w:r>
    </w:p>
    <w:p w:rsidR="00000000" w:rsidDel="00000000" w:rsidP="00000000" w:rsidRDefault="00000000" w:rsidRPr="00000000" w14:paraId="00000063">
      <w:pPr>
        <w:ind w:left="0" w:hanging="2"/>
        <w:jc w:val="both"/>
        <w:rPr/>
      </w:pPr>
      <w:r w:rsidDel="00000000" w:rsidR="00000000" w:rsidRPr="00000000">
        <w:rPr>
          <w:rtl w:val="0"/>
        </w:rPr>
      </w:r>
    </w:p>
    <w:p w:rsidR="00000000" w:rsidDel="00000000" w:rsidP="00000000" w:rsidRDefault="00000000" w:rsidRPr="00000000" w14:paraId="00000064">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 1. </w:t>
      </w: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65">
      <w:pPr>
        <w:ind w:left="0" w:hanging="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6">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 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p w:rsidR="00000000" w:rsidDel="00000000" w:rsidP="00000000" w:rsidRDefault="00000000" w:rsidRPr="00000000" w14:paraId="00000067">
      <w:pPr>
        <w:spacing w:after="200" w:line="276" w:lineRule="auto"/>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 Competencias y Resultados de Aprendizaje Generales que desarrolla la asignatura</w:t>
      </w:r>
      <w:r w:rsidDel="00000000" w:rsidR="00000000" w:rsidRPr="00000000">
        <w:rPr>
          <w:rtl w:val="0"/>
        </w:rPr>
      </w:r>
    </w:p>
    <w:p w:rsidR="00000000" w:rsidDel="00000000" w:rsidP="00000000" w:rsidRDefault="00000000" w:rsidRPr="00000000" w14:paraId="00000069">
      <w:pPr>
        <w:ind w:left="0" w:hanging="2"/>
        <w:jc w:val="both"/>
        <w:rPr>
          <w:rFonts w:ascii="Calibri" w:cs="Calibri" w:eastAsia="Calibri" w:hAnsi="Calibri"/>
          <w:sz w:val="22"/>
          <w:szCs w:val="22"/>
        </w:rPr>
      </w:pPr>
      <w:r w:rsidDel="00000000" w:rsidR="00000000" w:rsidRPr="00000000">
        <w:rPr>
          <w:rtl w:val="0"/>
        </w:rPr>
      </w:r>
    </w:p>
    <w:tbl>
      <w:tblPr>
        <w:tblStyle w:val="Table2"/>
        <w:tblW w:w="88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2"/>
        <w:gridCol w:w="4490"/>
        <w:tblGridChange w:id="0">
          <w:tblGrid>
            <w:gridCol w:w="4382"/>
            <w:gridCol w:w="4490"/>
          </w:tblGrid>
        </w:tblGridChange>
      </w:tblGrid>
      <w:tr>
        <w:tc>
          <w:tcPr>
            <w:shd w:fill="d9d9d9" w:val="clear"/>
          </w:tcPr>
          <w:p w:rsidR="00000000" w:rsidDel="00000000" w:rsidP="00000000" w:rsidRDefault="00000000" w:rsidRPr="00000000" w14:paraId="0000006A">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Competencias Genéricas</w:t>
            </w:r>
            <w:r w:rsidDel="00000000" w:rsidR="00000000" w:rsidRPr="00000000">
              <w:rPr>
                <w:rtl w:val="0"/>
              </w:rPr>
            </w:r>
          </w:p>
        </w:tc>
        <w:tc>
          <w:tcPr>
            <w:shd w:fill="d9d9d9" w:val="clear"/>
          </w:tcPr>
          <w:p w:rsidR="00000000" w:rsidDel="00000000" w:rsidP="00000000" w:rsidRDefault="00000000" w:rsidRPr="00000000" w14:paraId="0000006B">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Resultados de Aprendizaje Generales</w:t>
            </w:r>
            <w:r w:rsidDel="00000000" w:rsidR="00000000" w:rsidRPr="00000000">
              <w:rPr>
                <w:rtl w:val="0"/>
              </w:rPr>
            </w:r>
          </w:p>
        </w:tc>
      </w:tr>
      <w:tr>
        <w:trPr>
          <w:trHeight w:val="2608" w:hRule="atLeast"/>
        </w:trPr>
        <w:tc>
          <w:tcPr/>
          <w:p w:rsidR="00000000" w:rsidDel="00000000" w:rsidP="00000000" w:rsidRDefault="00000000" w:rsidRPr="00000000" w14:paraId="0000006C">
            <w:pPr>
              <w:spacing w:line="360" w:lineRule="auto"/>
              <w:ind w:left="0" w:hanging="2"/>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Visión Analítica</w:t>
            </w:r>
          </w:p>
          <w:p w:rsidR="00000000" w:rsidDel="00000000" w:rsidP="00000000" w:rsidRDefault="00000000" w:rsidRPr="00000000" w14:paraId="0000006D">
            <w:pPr>
              <w:spacing w:line="360" w:lineRule="auto"/>
              <w:ind w:left="0" w:hanging="2"/>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Eficiencia</w:t>
            </w:r>
          </w:p>
          <w:p w:rsidR="00000000" w:rsidDel="00000000" w:rsidP="00000000" w:rsidRDefault="00000000" w:rsidRPr="00000000" w14:paraId="0000006E">
            <w:pPr>
              <w:spacing w:line="360" w:lineRule="auto"/>
              <w:ind w:left="0" w:hanging="2"/>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Ética</w:t>
            </w:r>
          </w:p>
          <w:p w:rsidR="00000000" w:rsidDel="00000000" w:rsidP="00000000" w:rsidRDefault="00000000" w:rsidRPr="00000000" w14:paraId="0000006F">
            <w:p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Autonomía</w:t>
            </w:r>
            <w:r w:rsidDel="00000000" w:rsidR="00000000" w:rsidRPr="00000000">
              <w:rPr>
                <w:rtl w:val="0"/>
              </w:rPr>
            </w:r>
          </w:p>
        </w:tc>
        <w:tc>
          <w:tcPr>
            <w:vMerge w:val="restart"/>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Aplica los enfoques metodológicos de enseñanza del idioma inglés más efectivos, seleccionando los materiales y actividades más pertinentes alineadas con evaluaciones conducentes a un aprendizaje significativo dentro de un clima que propicie el compromiso del futuro docente y alumno con su propio proceso de aprendizaje según el contexto con el fin de seleccionar los diseños más apropiados para su aplicación en aula.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Demuestra valoración por los diferentes contextos y ámbitos de la vida cotidiana y educativa   en donde la adquisición de un segundo idioma se transforma en una herramienta para desenvolverse profesionalmente en la sociedad globalizada.</w:t>
            </w:r>
          </w:p>
          <w:p w:rsidR="00000000" w:rsidDel="00000000" w:rsidP="00000000" w:rsidRDefault="00000000" w:rsidRPr="00000000" w14:paraId="00000073">
            <w:pPr>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4">
            <w:pPr>
              <w:spacing w:after="240" w:lineRule="auto"/>
              <w:ind w:left="0" w:hanging="2"/>
              <w:jc w:val="both"/>
              <w:rPr>
                <w:rFonts w:ascii="Calibri" w:cs="Calibri" w:eastAsia="Calibri" w:hAnsi="Calibri"/>
                <w:sz w:val="22"/>
                <w:szCs w:val="22"/>
              </w:rPr>
            </w:pPr>
            <w:r w:rsidDel="00000000" w:rsidR="00000000" w:rsidRPr="00000000">
              <w:rPr>
                <w:rtl w:val="0"/>
              </w:rPr>
            </w:r>
          </w:p>
        </w:tc>
      </w:tr>
      <w:tr>
        <w:tc>
          <w:tcPr>
            <w:shd w:fill="d9d9d9" w:val="clear"/>
          </w:tcPr>
          <w:p w:rsidR="00000000" w:rsidDel="00000000" w:rsidP="00000000" w:rsidRDefault="00000000" w:rsidRPr="00000000" w14:paraId="00000075">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Competencias Específicas</w:t>
            </w:r>
            <w:r w:rsidDel="00000000" w:rsidR="00000000" w:rsidRPr="00000000">
              <w:rPr>
                <w:rtl w:val="0"/>
              </w:rPr>
            </w:r>
          </w:p>
        </w:tc>
        <w:tc>
          <w:tcPr>
            <w:vMerge w:val="continue"/>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r>
        <w:tc>
          <w:tcPr>
            <w:shd w:fill="auto" w:val="clear"/>
          </w:tcPr>
          <w:p w:rsidR="00000000" w:rsidDel="00000000" w:rsidP="00000000" w:rsidRDefault="00000000" w:rsidRPr="00000000" w14:paraId="00000077">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 </w:t>
            </w: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78">
            <w:pPr>
              <w:spacing w:after="200" w:line="276"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r w:rsidDel="00000000" w:rsidR="00000000" w:rsidRPr="00000000">
              <w:rPr>
                <w:rtl w:val="0"/>
              </w:rPr>
            </w:r>
          </w:p>
        </w:tc>
        <w:tc>
          <w:tcPr>
            <w:vMerge w:val="continue"/>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7B">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60" w:line="276"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 Unidades de Contenido y Resultados de Aprendizaje</w:t>
      </w:r>
    </w:p>
    <w:tbl>
      <w:tblPr>
        <w:tblStyle w:val="Table3"/>
        <w:tblW w:w="948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5"/>
        <w:gridCol w:w="1905"/>
        <w:gridCol w:w="4890"/>
        <w:tblGridChange w:id="0">
          <w:tblGrid>
            <w:gridCol w:w="2685"/>
            <w:gridCol w:w="1905"/>
            <w:gridCol w:w="4890"/>
          </w:tblGrid>
        </w:tblGridChange>
      </w:tblGrid>
      <w:tr>
        <w:tc>
          <w:tcPr/>
          <w:p w:rsidR="00000000" w:rsidDel="00000000" w:rsidP="00000000" w:rsidRDefault="00000000" w:rsidRPr="00000000" w14:paraId="00000084">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Unidades de Contenido</w:t>
            </w:r>
            <w:r w:rsidDel="00000000" w:rsidR="00000000" w:rsidRPr="00000000">
              <w:rPr>
                <w:rtl w:val="0"/>
              </w:rPr>
            </w:r>
          </w:p>
        </w:tc>
        <w:tc>
          <w:tcPr/>
          <w:p w:rsidR="00000000" w:rsidDel="00000000" w:rsidP="00000000" w:rsidRDefault="00000000" w:rsidRPr="00000000" w14:paraId="00000085">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Competencia</w:t>
            </w:r>
            <w:r w:rsidDel="00000000" w:rsidR="00000000" w:rsidRPr="00000000">
              <w:rPr>
                <w:rtl w:val="0"/>
              </w:rPr>
            </w:r>
          </w:p>
        </w:tc>
        <w:tc>
          <w:tcPr/>
          <w:p w:rsidR="00000000" w:rsidDel="00000000" w:rsidP="00000000" w:rsidRDefault="00000000" w:rsidRPr="00000000" w14:paraId="00000086">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Resultados de aprendizaje</w:t>
            </w:r>
            <w:r w:rsidDel="00000000" w:rsidR="00000000" w:rsidRPr="00000000">
              <w:rPr>
                <w:rtl w:val="0"/>
              </w:rPr>
            </w:r>
          </w:p>
        </w:tc>
      </w:tr>
      <w:tr>
        <w:trPr>
          <w:trHeight w:val="360" w:hRule="atLeast"/>
        </w:trPr>
        <w:tc>
          <w:tcPr/>
          <w:p w:rsidR="00000000" w:rsidDel="00000000" w:rsidP="00000000" w:rsidRDefault="00000000" w:rsidRPr="00000000" w14:paraId="00000087">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Unidad I:</w:t>
            </w:r>
          </w:p>
          <w:p w:rsidR="00000000" w:rsidDel="00000000" w:rsidP="00000000" w:rsidRDefault="00000000" w:rsidRPr="00000000" w14:paraId="0000008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Modelos de enseñanza del idioma inglés.</w:t>
            </w:r>
          </w:p>
          <w:p w:rsidR="00000000" w:rsidDel="00000000" w:rsidP="00000000" w:rsidRDefault="00000000" w:rsidRPr="00000000" w14:paraId="0000008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Metodologías, estrategias y técnicas para seleccionar los diseños más apropiados para su aplicación en el aula.</w:t>
            </w:r>
          </w:p>
        </w:tc>
        <w:tc>
          <w:tcPr/>
          <w:p w:rsidR="00000000" w:rsidDel="00000000" w:rsidP="00000000" w:rsidRDefault="00000000" w:rsidRPr="00000000" w14:paraId="0000008A">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 </w:t>
            </w: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8B">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Demuestra comprensión sobre la alineación entre los modelos de enseñanza y el marco para el aprendizaje de las habilidades esenciales en el siglo XXI.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Analiza las habilidades esenciales para el aprendizaje en el siglo XXI y su conexión con las prácticas docentes a partir de casos situados.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Distingue los enfoques de enseñanza centrados en el profesor o en el alumno de acuerdo con el aprendizaje esperado a partir de casos situados.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Evalúa las estrategias de aprendizajes clave en el fomento de competencias </w:t>
            </w:r>
            <w:r w:rsidDel="00000000" w:rsidR="00000000" w:rsidRPr="00000000">
              <w:rPr>
                <w:rFonts w:ascii="Calibri" w:cs="Calibri" w:eastAsia="Calibri" w:hAnsi="Calibri"/>
                <w:sz w:val="22"/>
                <w:szCs w:val="22"/>
                <w:rtl w:val="0"/>
              </w:rPr>
              <w:t xml:space="preserve">comunicativas a</w:t>
            </w:r>
            <w:r w:rsidDel="00000000" w:rsidR="00000000" w:rsidRPr="00000000">
              <w:rPr>
                <w:rFonts w:ascii="Calibri" w:cs="Calibri" w:eastAsia="Calibri" w:hAnsi="Calibri"/>
                <w:color w:val="000000"/>
                <w:sz w:val="22"/>
                <w:szCs w:val="22"/>
                <w:rtl w:val="0"/>
              </w:rPr>
              <w:t xml:space="preserve"> partir de casos reales o hipotéticos.</w:t>
            </w:r>
          </w:p>
          <w:p w:rsidR="00000000" w:rsidDel="00000000" w:rsidP="00000000" w:rsidRDefault="00000000" w:rsidRPr="00000000" w14:paraId="00000093">
            <w:pPr>
              <w:ind w:left="0" w:hanging="2"/>
              <w:jc w:val="both"/>
              <w:rPr>
                <w:rFonts w:ascii="Calibri" w:cs="Calibri" w:eastAsia="Calibri" w:hAnsi="Calibri"/>
                <w:sz w:val="22"/>
                <w:szCs w:val="22"/>
              </w:rPr>
            </w:pPr>
            <w:r w:rsidDel="00000000" w:rsidR="00000000" w:rsidRPr="00000000">
              <w:rPr>
                <w:rtl w:val="0"/>
              </w:rPr>
            </w:r>
          </w:p>
        </w:tc>
      </w:tr>
      <w:tr>
        <w:trPr>
          <w:trHeight w:val="70" w:hRule="atLeast"/>
        </w:trPr>
        <w:tc>
          <w:tcPr/>
          <w:p w:rsidR="00000000" w:rsidDel="00000000" w:rsidP="00000000" w:rsidRDefault="00000000" w:rsidRPr="00000000" w14:paraId="00000094">
            <w:pPr>
              <w:ind w:left="0" w:hanging="2"/>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Unidad II: </w:t>
            </w:r>
          </w:p>
          <w:p w:rsidR="00000000" w:rsidDel="00000000" w:rsidP="00000000" w:rsidRDefault="00000000" w:rsidRPr="00000000" w14:paraId="00000095">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Recursos pedagógicos como medios en el proceso de enseñanza-aprendizaje</w:t>
            </w:r>
          </w:p>
        </w:tc>
        <w:tc>
          <w:tcPr/>
          <w:p w:rsidR="00000000" w:rsidDel="00000000" w:rsidP="00000000" w:rsidRDefault="00000000" w:rsidRPr="00000000" w14:paraId="00000096">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 </w:t>
            </w: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97">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Evalúa recursos pedagógicos para su posterior utilización como medios en el proceso de enseñanza-aprendizaje considerando materiales auténticos y adaptados.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Reconoce el uso de recursos pedagógicos como mediadores en el proceso de enseñanza-aprendizaje a partir de casos reales o hipotéticos.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D">
            <w:pP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Reflexionar sobre los usos más adecuados de las TIC y/o juegos para promover el aprendizaje a partir de casos reales o hipotéticos. </w:t>
            </w:r>
          </w:p>
          <w:p w:rsidR="00000000" w:rsidDel="00000000" w:rsidP="00000000" w:rsidRDefault="00000000" w:rsidRPr="00000000" w14:paraId="0000009E">
            <w:pPr>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F">
            <w:pPr>
              <w:ind w:left="0" w:hanging="2"/>
              <w:jc w:val="both"/>
              <w:rPr>
                <w:rFonts w:ascii="Calibri" w:cs="Calibri" w:eastAsia="Calibri" w:hAnsi="Calibri"/>
                <w:color w:val="000000"/>
                <w:sz w:val="22"/>
                <w:szCs w:val="22"/>
              </w:rPr>
            </w:pPr>
            <w:r w:rsidDel="00000000" w:rsidR="00000000" w:rsidRPr="00000000">
              <w:rPr>
                <w:rtl w:val="0"/>
              </w:rPr>
            </w:r>
          </w:p>
        </w:tc>
      </w:tr>
      <w:tr>
        <w:tc>
          <w:tcPr/>
          <w:p w:rsidR="00000000" w:rsidDel="00000000" w:rsidP="00000000" w:rsidRDefault="00000000" w:rsidRPr="00000000" w14:paraId="000000A0">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Unidad III: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Evaluación como un proceso global que informa las etapas e implicaciones del aprendizaje. </w:t>
            </w:r>
          </w:p>
          <w:p w:rsidR="00000000" w:rsidDel="00000000" w:rsidP="00000000" w:rsidRDefault="00000000" w:rsidRPr="00000000" w14:paraId="000000A2">
            <w:pPr>
              <w:ind w:left="0" w:hanging="2"/>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A3">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 </w:t>
            </w: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A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Utiliza la evaluación como herramienta para potenciar la toma de conciencia del propio aprendizaje considerando las etapas e implicancias en el aprendizaje.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Reconoce las tres dimensiones de la evaluación (evaluar como, sobre y para el aprendizaje) a partir del análisis de casos reales o hipotéticos.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Reconoce las potencialidades del error como factor gravitante en el proceso de enseñanza-aprendizaje mediante ejercicios prácticos.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Implementa la retroalimentación como un medio esencial para potenciar aprendizajes efectivos en contextos simulados y/o reales.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Diferencia diversas modalidades de corrección (</w:t>
            </w:r>
            <w:r w:rsidDel="00000000" w:rsidR="00000000" w:rsidRPr="00000000">
              <w:rPr>
                <w:rFonts w:ascii="Calibri" w:cs="Calibri" w:eastAsia="Calibri" w:hAnsi="Calibri"/>
                <w:i w:val="1"/>
                <w:color w:val="000000"/>
                <w:sz w:val="22"/>
                <w:szCs w:val="22"/>
                <w:rtl w:val="0"/>
              </w:rPr>
              <w:t xml:space="preserve">peer correction, self-assessment</w:t>
            </w:r>
            <w:r w:rsidDel="00000000" w:rsidR="00000000" w:rsidRPr="00000000">
              <w:rPr>
                <w:rFonts w:ascii="Calibri" w:cs="Calibri" w:eastAsia="Calibri" w:hAnsi="Calibri"/>
                <w:color w:val="000000"/>
                <w:sz w:val="22"/>
                <w:szCs w:val="22"/>
                <w:rtl w:val="0"/>
              </w:rPr>
              <w:t xml:space="preserve">, etc) en el contexto de un proceso de evaluación considerando sus características, pertinencia y fortalezas. </w:t>
            </w:r>
          </w:p>
          <w:p w:rsidR="00000000" w:rsidDel="00000000" w:rsidP="00000000" w:rsidRDefault="00000000" w:rsidRPr="00000000" w14:paraId="000000AF">
            <w:pPr>
              <w:ind w:left="0" w:hanging="2"/>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0">
            <w:pPr>
              <w:ind w:left="0" w:hanging="2"/>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1">
            <w:pPr>
              <w:ind w:left="0" w:hanging="2"/>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2">
            <w:pPr>
              <w:ind w:left="0" w:hanging="2"/>
              <w:jc w:val="both"/>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B3">
            <w:pPr>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Unidad IV:</w:t>
            </w:r>
          </w:p>
          <w:p w:rsidR="00000000" w:rsidDel="00000000" w:rsidP="00000000" w:rsidRDefault="00000000" w:rsidRPr="00000000" w14:paraId="000000B4">
            <w:pPr>
              <w:ind w:left="0" w:hanging="2"/>
              <w:jc w:val="both"/>
              <w:rPr>
                <w:rFonts w:ascii="Calibri" w:cs="Calibri" w:eastAsia="Calibri" w:hAnsi="Calibri"/>
                <w:b w:val="1"/>
                <w:sz w:val="22"/>
                <w:szCs w:val="22"/>
              </w:rPr>
            </w:pPr>
            <w:r w:rsidDel="00000000" w:rsidR="00000000" w:rsidRPr="00000000">
              <w:rPr>
                <w:rFonts w:ascii="Calibri" w:cs="Calibri" w:eastAsia="Calibri" w:hAnsi="Calibri"/>
                <w:color w:val="000000"/>
                <w:sz w:val="22"/>
                <w:szCs w:val="22"/>
                <w:rtl w:val="0"/>
              </w:rPr>
              <w:t xml:space="preserve">Manejo de aula como eje articulador del proceso enseñanza-aprendizaje en la asignatura de inglés.</w:t>
            </w:r>
            <w:r w:rsidDel="00000000" w:rsidR="00000000" w:rsidRPr="00000000">
              <w:rPr>
                <w:rtl w:val="0"/>
              </w:rPr>
            </w:r>
          </w:p>
        </w:tc>
        <w:tc>
          <w:tcPr/>
          <w:p w:rsidR="00000000" w:rsidDel="00000000" w:rsidP="00000000" w:rsidRDefault="00000000" w:rsidRPr="00000000" w14:paraId="000000B5">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C1. </w:t>
            </w:r>
            <w:r w:rsidDel="00000000" w:rsidR="00000000" w:rsidRPr="00000000">
              <w:rPr>
                <w:rFonts w:ascii="Calibri" w:cs="Calibri" w:eastAsia="Calibri" w:hAnsi="Calibri"/>
                <w:sz w:val="22"/>
                <w:szCs w:val="22"/>
                <w:rtl w:val="0"/>
              </w:rPr>
              <w:t xml:space="preserve">Compromete a todos los estudiantes con su propio aprendizaje, por medio de experiencias de aprendizaje desafiantes y con propósito, tanto en inglés como en castellano, dando cuenta de un alto dominio disciplinar.</w:t>
            </w:r>
          </w:p>
          <w:p w:rsidR="00000000" w:rsidDel="00000000" w:rsidP="00000000" w:rsidRDefault="00000000" w:rsidRPr="00000000" w14:paraId="000000B6">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C5.</w:t>
            </w:r>
            <w:r w:rsidDel="00000000" w:rsidR="00000000" w:rsidRPr="00000000">
              <w:rPr>
                <w:rFonts w:ascii="Calibri" w:cs="Calibri" w:eastAsia="Calibri" w:hAnsi="Calibri"/>
                <w:sz w:val="22"/>
                <w:szCs w:val="22"/>
                <w:rtl w:val="0"/>
              </w:rPr>
              <w:t xml:space="preserve"> Demuestra profesionalismo en su quehacer docente, en beneficio del aprendizaje de los estudiantes</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Reflexiona sobre el valor de las interacciones dentro del aula: profesor-alumno, alumno-alumno a partir del estudio de casos.</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Analiza críticamente el rol y estilos docentes según contexto/climas de aula a partir de casos reales y/o hipotéticos.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Diseña estrategias claras para presentación y comprensión de instrucciones en el aula a partir de casos reales y/o hipotéticos.</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Utiliza estrategias efectivas en la presentación, explicación y aplicación de contenidos en el proceso de enseñanza-aprendizaje en contextos simulados.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Alinea actividades, recursos pedagógicos y procesos evaluativos con climas de aula que favorezcan el aprendizaje.</w:t>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60" w:line="276"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2">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 Estrategias de Enseñanza</w:t>
      </w:r>
      <w:r w:rsidDel="00000000" w:rsidR="00000000" w:rsidRPr="00000000">
        <w:rPr>
          <w:rtl w:val="0"/>
        </w:rPr>
      </w:r>
    </w:p>
    <w:p w:rsidR="00000000" w:rsidDel="00000000" w:rsidP="00000000" w:rsidRDefault="00000000" w:rsidRPr="00000000" w14:paraId="000000C6">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estrategia de enseñanza incluirá el desarrollo de trabajos prácticos y fomentando la participación en clases. El estudiante analizará problemáticas donde podrá aplicar los conocimientos conceptuales adquiridos. </w:t>
      </w:r>
    </w:p>
    <w:p w:rsidR="00000000" w:rsidDel="00000000" w:rsidP="00000000" w:rsidRDefault="00000000" w:rsidRPr="00000000" w14:paraId="000000C8">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curso se estructura en base a diversas metodologías, que incluyen:</w:t>
      </w:r>
    </w:p>
    <w:p w:rsidR="00000000" w:rsidDel="00000000" w:rsidP="00000000" w:rsidRDefault="00000000" w:rsidRPr="00000000" w14:paraId="000000CA">
      <w:pPr>
        <w:numPr>
          <w:ilvl w:val="0"/>
          <w:numId w:val="1"/>
        </w:num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Trabajos de grupo y debates (virtuales y presenciales) entre los mismos alumnos. </w:t>
      </w:r>
    </w:p>
    <w:p w:rsidR="00000000" w:rsidDel="00000000" w:rsidP="00000000" w:rsidRDefault="00000000" w:rsidRPr="00000000" w14:paraId="000000CB">
      <w:pPr>
        <w:numPr>
          <w:ilvl w:val="0"/>
          <w:numId w:val="1"/>
        </w:num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Guías de trabajo desarrolladas en clases y en visitas a terreno </w:t>
      </w:r>
    </w:p>
    <w:p w:rsidR="00000000" w:rsidDel="00000000" w:rsidP="00000000" w:rsidRDefault="00000000" w:rsidRPr="00000000" w14:paraId="000000CC">
      <w:pPr>
        <w:numPr>
          <w:ilvl w:val="0"/>
          <w:numId w:val="1"/>
        </w:num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Cuestionarios a diversas fuentes de información.</w:t>
      </w:r>
    </w:p>
    <w:p w:rsidR="00000000" w:rsidDel="00000000" w:rsidP="00000000" w:rsidRDefault="00000000" w:rsidRPr="00000000" w14:paraId="000000CD">
      <w:pPr>
        <w:numPr>
          <w:ilvl w:val="0"/>
          <w:numId w:val="1"/>
        </w:num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Actividades de análisis y crítica de casos (reales y supuestos) durante la mayor parte de las clases.</w:t>
      </w:r>
    </w:p>
    <w:p w:rsidR="00000000" w:rsidDel="00000000" w:rsidP="00000000" w:rsidRDefault="00000000" w:rsidRPr="00000000" w14:paraId="000000CE">
      <w:pPr>
        <w:numPr>
          <w:ilvl w:val="0"/>
          <w:numId w:val="1"/>
        </w:num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Clases expositivas apoyadas con tecnologías como PowerPoint o Prezi.</w:t>
      </w:r>
    </w:p>
    <w:p w:rsidR="00000000" w:rsidDel="00000000" w:rsidP="00000000" w:rsidRDefault="00000000" w:rsidRPr="00000000" w14:paraId="000000CF">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D0">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 Estrategias de Evaluación </w:t>
      </w:r>
      <w:r w:rsidDel="00000000" w:rsidR="00000000" w:rsidRPr="00000000">
        <w:rPr>
          <w:rtl w:val="0"/>
        </w:rPr>
      </w:r>
    </w:p>
    <w:p w:rsidR="00000000" w:rsidDel="00000000" w:rsidP="00000000" w:rsidRDefault="00000000" w:rsidRPr="00000000" w14:paraId="000000D1">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spacing w:line="36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estrategias de evaluación de la asignatura tendrán su foco en: </w:t>
      </w:r>
    </w:p>
    <w:p w:rsidR="00000000" w:rsidDel="00000000" w:rsidP="00000000" w:rsidRDefault="00000000" w:rsidRPr="00000000" w14:paraId="000000D3">
      <w:pPr>
        <w:numPr>
          <w:ilvl w:val="0"/>
          <w:numId w:val="4"/>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Controles escritos breves para chequear contenidos</w:t>
      </w:r>
    </w:p>
    <w:p w:rsidR="00000000" w:rsidDel="00000000" w:rsidP="00000000" w:rsidRDefault="00000000" w:rsidRPr="00000000" w14:paraId="000000D4">
      <w:pPr>
        <w:numPr>
          <w:ilvl w:val="0"/>
          <w:numId w:val="4"/>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Análisis reflexivos (orales) grupales basados en estudio de casos. </w:t>
      </w:r>
    </w:p>
    <w:p w:rsidR="00000000" w:rsidDel="00000000" w:rsidP="00000000" w:rsidRDefault="00000000" w:rsidRPr="00000000" w14:paraId="000000D5">
      <w:pPr>
        <w:numPr>
          <w:ilvl w:val="0"/>
          <w:numId w:val="4"/>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Ensayo reflexivo final (escrito)  </w:t>
      </w:r>
    </w:p>
    <w:p w:rsidR="00000000" w:rsidDel="00000000" w:rsidP="00000000" w:rsidRDefault="00000000" w:rsidRPr="00000000" w14:paraId="000000D6">
      <w:pPr>
        <w:numPr>
          <w:ilvl w:val="0"/>
          <w:numId w:val="4"/>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Certamen 1: Defensa de Ensayo (presentación oral) </w:t>
      </w:r>
    </w:p>
    <w:p w:rsidR="00000000" w:rsidDel="00000000" w:rsidP="00000000" w:rsidRDefault="00000000" w:rsidRPr="00000000" w14:paraId="000000D7">
      <w:pPr>
        <w:numPr>
          <w:ilvl w:val="0"/>
          <w:numId w:val="4"/>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Certamen 2: Proyecto Intervención final  </w:t>
      </w:r>
    </w:p>
    <w:p w:rsidR="00000000" w:rsidDel="00000000" w:rsidP="00000000" w:rsidRDefault="00000000" w:rsidRPr="00000000" w14:paraId="000000D8">
      <w:pPr>
        <w:numPr>
          <w:ilvl w:val="0"/>
          <w:numId w:val="4"/>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Examen Final</w:t>
      </w:r>
    </w:p>
    <w:p w:rsidR="00000000" w:rsidDel="00000000" w:rsidP="00000000" w:rsidRDefault="00000000" w:rsidRPr="00000000" w14:paraId="000000D9">
      <w:pPr>
        <w:spacing w:line="36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 Recursos de Aprendizaje</w:t>
      </w:r>
      <w:r w:rsidDel="00000000" w:rsidR="00000000" w:rsidRPr="00000000">
        <w:rPr>
          <w:rtl w:val="0"/>
        </w:rPr>
      </w:r>
    </w:p>
    <w:p w:rsidR="00000000" w:rsidDel="00000000" w:rsidP="00000000" w:rsidRDefault="00000000" w:rsidRPr="00000000" w14:paraId="000000DB">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DC">
      <w:pPr>
        <w:spacing w:line="360" w:lineRule="auto"/>
        <w:ind w:left="0" w:hanging="2"/>
        <w:jc w:val="both"/>
        <w:rPr>
          <w:rFonts w:ascii="Arial" w:cs="Arial" w:eastAsia="Arial" w:hAnsi="Arial"/>
        </w:rPr>
      </w:pPr>
      <w:r w:rsidDel="00000000" w:rsidR="00000000" w:rsidRPr="00000000">
        <w:rPr>
          <w:rFonts w:ascii="Arial" w:cs="Arial" w:eastAsia="Arial" w:hAnsi="Arial"/>
          <w:b w:val="1"/>
          <w:rtl w:val="0"/>
        </w:rPr>
        <w:t xml:space="preserve">Bibliografía Obligatoria: </w:t>
      </w:r>
      <w:r w:rsidDel="00000000" w:rsidR="00000000" w:rsidRPr="00000000">
        <w:rPr>
          <w:rtl w:val="0"/>
        </w:rPr>
      </w:r>
    </w:p>
    <w:p w:rsidR="00000000" w:rsidDel="00000000" w:rsidP="00000000" w:rsidRDefault="00000000" w:rsidRPr="00000000" w14:paraId="000000DD">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D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Celse-Murcia et al (2013). Teaching English as a Second or Foreign Language. New York: Heinle &amp; Heinle. </w:t>
      </w:r>
    </w:p>
    <w:p w:rsidR="00000000" w:rsidDel="00000000" w:rsidP="00000000" w:rsidRDefault="00000000" w:rsidRPr="00000000" w14:paraId="000000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Huges, A.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Testing for Language Teachers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Cambridge University Press. </w:t>
      </w:r>
    </w:p>
    <w:p w:rsidR="00000000" w:rsidDel="00000000" w:rsidP="00000000" w:rsidRDefault="00000000" w:rsidRPr="00000000" w14:paraId="000000E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Lemov. D. (2017).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Teach like a Champion. 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New York: Jossie Bassey.</w:t>
      </w:r>
    </w:p>
    <w:p w:rsidR="00000000" w:rsidDel="00000000" w:rsidP="00000000" w:rsidRDefault="00000000" w:rsidRPr="00000000" w14:paraId="000000E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Marzano et al.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Handbook for Classroom Management that Works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Virginia: ASCD.</w:t>
      </w:r>
    </w:p>
    <w:p w:rsidR="00000000" w:rsidDel="00000000" w:rsidP="00000000" w:rsidRDefault="00000000" w:rsidRPr="00000000" w14:paraId="000000E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Richards &amp; Rodgers. (2011). Approaches and Methods in ELT. Cambridge: CUP</w:t>
      </w:r>
    </w:p>
    <w:p w:rsidR="00000000" w:rsidDel="00000000" w:rsidP="00000000" w:rsidRDefault="00000000" w:rsidRPr="00000000" w14:paraId="000000E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Wallace, M. (1992).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Training Foreign Language Teachers.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Cambridge: CUP.</w:t>
      </w:r>
    </w:p>
    <w:p w:rsidR="00000000" w:rsidDel="00000000" w:rsidP="00000000" w:rsidRDefault="00000000" w:rsidRPr="00000000" w14:paraId="000000E4">
      <w:pPr>
        <w:spacing w:line="276"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spacing w:line="276"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spacing w:line="276"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spacing w:line="360" w:lineRule="auto"/>
        <w:ind w:left="0" w:hanging="2"/>
        <w:jc w:val="both"/>
        <w:rPr>
          <w:rFonts w:ascii="Arial" w:cs="Arial" w:eastAsia="Arial" w:hAnsi="Arial"/>
        </w:rPr>
      </w:pPr>
      <w:r w:rsidDel="00000000" w:rsidR="00000000" w:rsidRPr="00000000">
        <w:rPr>
          <w:rFonts w:ascii="Arial" w:cs="Arial" w:eastAsia="Arial" w:hAnsi="Arial"/>
          <w:b w:val="1"/>
          <w:rtl w:val="0"/>
        </w:rPr>
        <w:t xml:space="preserve">Bibliografía Complementaria:</w:t>
      </w:r>
      <w:r w:rsidDel="00000000" w:rsidR="00000000" w:rsidRPr="00000000">
        <w:rPr>
          <w:rtl w:val="0"/>
        </w:rPr>
      </w:r>
    </w:p>
    <w:p w:rsidR="00000000" w:rsidDel="00000000" w:rsidP="00000000" w:rsidRDefault="00000000" w:rsidRPr="00000000" w14:paraId="000000E8">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E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About.com. (2012). English listening skills and activities—Effective listening practice. Retrieved from </w:t>
      </w:r>
      <w:hyperlink r:id="rId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http://esl.about.com/od/englishlistening/English_Listening_Skills_and_ActivitiesEffective_Listening_Practice.htm</w:t>
        </w:r>
      </w:hyperlink>
      <w:r w:rsidDel="00000000" w:rsidR="00000000" w:rsidRPr="00000000">
        <w:rPr>
          <w:rtl w:val="0"/>
        </w:rPr>
      </w:r>
    </w:p>
    <w:p w:rsidR="00000000" w:rsidDel="00000000" w:rsidP="00000000" w:rsidRDefault="00000000" w:rsidRPr="00000000" w14:paraId="000000E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Bauer-Ramazani, C. (2012). ESL/EFL teaching/learning resources: reading. Retrieved from </w:t>
      </w:r>
      <w:hyperlink r:id="rId1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http://academics.smcvt.edu/cbauer-ramazani/Links/esl_reading.htm</w:t>
        </w:r>
      </w:hyperlink>
      <w:r w:rsidDel="00000000" w:rsidR="00000000" w:rsidRPr="00000000">
        <w:rPr>
          <w:rtl w:val="0"/>
        </w:rPr>
      </w:r>
    </w:p>
    <w:p w:rsidR="00000000" w:rsidDel="00000000" w:rsidP="00000000" w:rsidRDefault="00000000" w:rsidRPr="00000000" w14:paraId="000000E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Brown, D. (2004).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Language Assessment: Principles and Classroom Practices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San Francisco: Longman. </w:t>
      </w:r>
    </w:p>
    <w:p w:rsidR="00000000" w:rsidDel="00000000" w:rsidP="00000000" w:rsidRDefault="00000000" w:rsidRPr="00000000" w14:paraId="000000E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Cowley, S. (2014).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Getting the Buggers to behave.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London: Bloomsbury Education. </w:t>
      </w:r>
    </w:p>
    <w:p w:rsidR="00000000" w:rsidDel="00000000" w:rsidP="00000000" w:rsidRDefault="00000000" w:rsidRPr="00000000" w14:paraId="000000E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Hattie, J. (2012). </w:t>
      </w:r>
      <w:hyperlink r:id="rId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Visible Learning for Teachers: Maximizing Impact on Learning‎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London: Routledge. </w:t>
      </w:r>
    </w:p>
    <w:p w:rsidR="00000000" w:rsidDel="00000000" w:rsidP="00000000" w:rsidRDefault="00000000" w:rsidRPr="00000000" w14:paraId="000000E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Hedge, T. (2008).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Teaching &amp; Learning in the Language Classroom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OUP.</w:t>
      </w:r>
    </w:p>
    <w:p w:rsidR="00000000" w:rsidDel="00000000" w:rsidP="00000000" w:rsidRDefault="00000000" w:rsidRPr="00000000" w14:paraId="000000E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MacNamara, T. (2000).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Language Testing.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Oxford: Oxford University Press.</w:t>
      </w:r>
    </w:p>
    <w:p w:rsidR="00000000" w:rsidDel="00000000" w:rsidP="00000000" w:rsidRDefault="00000000" w:rsidRPr="00000000" w14:paraId="000000F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Richards &amp; Renandya (2006). Methodology in Language Teaching. An Anthology of Current Practice. Cambridge: CUP. </w:t>
      </w:r>
    </w:p>
    <w:p w:rsidR="00000000" w:rsidDel="00000000" w:rsidP="00000000" w:rsidRDefault="00000000" w:rsidRPr="00000000" w14:paraId="000000F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Tileston, D.W. (2005). Ten Best Teaching Practices. How Brain Research, Teaching Styles, and Standards Define Teaching Competencies. (2nd ed.). Thousand Oaks, California: Corwin Press. </w:t>
      </w:r>
    </w:p>
    <w:p w:rsidR="00000000" w:rsidDel="00000000" w:rsidP="00000000" w:rsidRDefault="00000000" w:rsidRPr="00000000" w14:paraId="000000F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Tomlinson, B. (Ed.).  Materials Development in Language Teaching. Cambridge: CUP. </w:t>
      </w:r>
    </w:p>
    <w:p w:rsidR="00000000" w:rsidDel="00000000" w:rsidP="00000000" w:rsidRDefault="00000000" w:rsidRPr="00000000" w14:paraId="000000F3">
      <w:pPr>
        <w:spacing w:line="276" w:lineRule="auto"/>
        <w:ind w:left="-2" w:firstLine="0"/>
        <w:jc w:val="both"/>
        <w:rPr>
          <w:rFonts w:ascii="Calibri" w:cs="Calibri" w:eastAsia="Calibri" w:hAnsi="Calibri"/>
          <w:sz w:val="22"/>
          <w:szCs w:val="22"/>
        </w:rPr>
      </w:pPr>
      <w:r w:rsidDel="00000000" w:rsidR="00000000" w:rsidRPr="00000000">
        <w:rPr>
          <w:rtl w:val="0"/>
        </w:rPr>
      </w:r>
    </w:p>
    <w:sectPr>
      <w:footerReference r:id="rId12" w:type="default"/>
      <w:footerReference r:id="rId13" w:type="even"/>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pos="4252"/>
        <w:tab w:val="right" w:pos="8504"/>
      </w:tabs>
      <w:spacing w:line="240" w:lineRule="auto"/>
      <w:ind w:left="0" w:right="36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pos="4252"/>
        <w:tab w:val="right" w:pos="8504"/>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pos="4252"/>
        <w:tab w:val="right" w:pos="8504"/>
      </w:tabs>
      <w:spacing w:line="240" w:lineRule="auto"/>
      <w:ind w:left="0" w:right="360"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785" w:hanging="705"/>
      </w:pPr>
      <w:rPr>
        <w:rFonts w:ascii="Calibri" w:cs="Calibri" w:eastAsia="Calibri" w:hAnsi="Calibri"/>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785" w:hanging="705"/>
      </w:pPr>
      <w:rPr>
        <w:rFonts w:ascii="Calibri" w:cs="Calibri" w:eastAsia="Calibri" w:hAnsi="Calibri"/>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785" w:hanging="705"/>
      </w:pPr>
      <w:rPr>
        <w:rFonts w:ascii="Calibri" w:cs="Calibri" w:eastAsia="Calibri" w:hAnsi="Calibri"/>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s-E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widowControl w:val="0"/>
      <w:jc w:val="center"/>
    </w:pPr>
    <w:rPr>
      <w:rFonts w:ascii="Garamond" w:cs="Garamond" w:eastAsia="Garamond" w:hAnsi="Garamond"/>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szCs w:val="24"/>
      <w:lang w:eastAsia="es-ES"/>
    </w:rPr>
  </w:style>
  <w:style w:type="paragraph" w:styleId="Ttulo1">
    <w:name w:val="heading 1"/>
    <w:basedOn w:val="Normal"/>
    <w:next w:val="Normal"/>
    <w:uiPriority w:val="9"/>
    <w:qFormat w:val="1"/>
    <w:pPr>
      <w:keepNext w:val="1"/>
      <w:spacing w:after="60" w:before="240"/>
    </w:pPr>
    <w:rPr>
      <w:rFonts w:ascii="Cambria" w:cs="Times New Roman" w:eastAsia="Times New Roman" w:hAnsi="Cambria"/>
      <w:b w:val="1"/>
      <w:bCs w:val="1"/>
      <w:kern w:val="32"/>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widowControl w:val="0"/>
      <w:jc w:val="center"/>
      <w:outlineLvl w:val="2"/>
    </w:pPr>
    <w:rPr>
      <w:rFonts w:ascii="Garamond" w:hAnsi="Garamond"/>
      <w:b w:val="1"/>
      <w:sz w:val="24"/>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independiente2">
    <w:name w:val="Body Text 2"/>
    <w:basedOn w:val="Normal"/>
    <w:pPr>
      <w:overflowPunct w:val="0"/>
      <w:autoSpaceDE w:val="0"/>
      <w:autoSpaceDN w:val="0"/>
      <w:adjustRightInd w:val="0"/>
      <w:ind w:left="360"/>
      <w:textAlignment w:val="baseline"/>
    </w:pPr>
    <w:rPr>
      <w:rFonts w:ascii="Arial" w:hAnsi="Arial"/>
      <w:szCs w:val="20"/>
    </w:rPr>
  </w:style>
  <w:style w:type="paragraph" w:styleId="Textonotapie">
    <w:name w:val="footnote text"/>
    <w:basedOn w:val="Normal"/>
    <w:rPr>
      <w:rFonts w:ascii="Times New Roman" w:hAnsi="Times New Roman"/>
      <w:szCs w:val="20"/>
      <w:lang w:eastAsia="es-CL" w:val="es-CL"/>
    </w:rPr>
  </w:style>
  <w:style w:type="character" w:styleId="Refdenotaalpie">
    <w:name w:val="footnote reference"/>
    <w:rPr>
      <w:w w:val="100"/>
      <w:position w:val="-1"/>
      <w:effect w:val="none"/>
      <w:vertAlign w:val="superscript"/>
      <w:cs w:val="0"/>
      <w:em w:val="none"/>
    </w:rPr>
  </w:style>
  <w:style w:type="table" w:styleId="Tablaconcuadrcula">
    <w:name w:val="Table Grid"/>
    <w:basedOn w:val="Tabla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sinformato">
    <w:name w:val="Plain Text"/>
    <w:basedOn w:val="Normal"/>
    <w:rPr>
      <w:rFonts w:ascii="Courier New" w:cs="Courier New" w:hAnsi="Courier New"/>
      <w:szCs w:val="20"/>
    </w:rPr>
  </w:style>
  <w:style w:type="paragraph" w:styleId="Textoindependiente">
    <w:name w:val="Body Text"/>
    <w:basedOn w:val="Normal"/>
    <w:pPr>
      <w:spacing w:line="360" w:lineRule="auto"/>
      <w:jc w:val="both"/>
    </w:pPr>
    <w:rPr>
      <w:rFonts w:ascii="Arial" w:cs="Arial" w:hAnsi="Arial"/>
    </w:rPr>
  </w:style>
  <w:style w:type="paragraph" w:styleId="Piedepgina">
    <w:name w:val="footer"/>
    <w:basedOn w:val="Normal"/>
    <w:pPr>
      <w:tabs>
        <w:tab w:val="center" w:pos="4252"/>
        <w:tab w:val="right" w:pos="8504"/>
      </w:tabs>
    </w:pPr>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pPr>
      <w:tabs>
        <w:tab w:val="center" w:pos="4252"/>
        <w:tab w:val="right" w:pos="8504"/>
      </w:tabs>
    </w:pPr>
  </w:style>
  <w:style w:type="character" w:styleId="EncabezadoCar" w:customStyle="1">
    <w:name w:val="Encabezado Car"/>
    <w:rPr>
      <w:rFonts w:ascii="Tahoma" w:hAnsi="Tahoma"/>
      <w:w w:val="100"/>
      <w:position w:val="-1"/>
      <w:szCs w:val="24"/>
      <w:effect w:val="none"/>
      <w:vertAlign w:val="baseline"/>
      <w:cs w:val="0"/>
      <w:em w:val="none"/>
    </w:rPr>
  </w:style>
  <w:style w:type="paragraph" w:styleId="Textodeglobo">
    <w:name w:val="Balloon Text"/>
    <w:basedOn w:val="Normal"/>
    <w:rPr>
      <w:sz w:val="16"/>
      <w:szCs w:val="16"/>
    </w:rPr>
  </w:style>
  <w:style w:type="character" w:styleId="TextodegloboCar" w:customStyle="1">
    <w:name w:val="Texto de globo Car"/>
    <w:rPr>
      <w:rFonts w:ascii="Tahoma" w:cs="Tahoma" w:hAnsi="Tahoma"/>
      <w:w w:val="100"/>
      <w:position w:val="-1"/>
      <w:sz w:val="16"/>
      <w:szCs w:val="16"/>
      <w:effect w:val="none"/>
      <w:vertAlign w:val="baseline"/>
      <w:cs w:val="0"/>
      <w:em w:val="none"/>
    </w:rPr>
  </w:style>
  <w:style w:type="paragraph" w:styleId="NormalWeb">
    <w:name w:val="Normal (Web)"/>
    <w:basedOn w:val="Normal"/>
    <w:qFormat w:val="1"/>
    <w:pPr>
      <w:spacing w:after="100" w:afterAutospacing="1" w:before="100" w:beforeAutospacing="1"/>
    </w:pPr>
    <w:rPr>
      <w:rFonts w:ascii="Times New Roman" w:hAnsi="Times New Roman"/>
      <w:sz w:val="24"/>
      <w:lang w:eastAsia="es-CL" w:val="es-CL"/>
    </w:rPr>
  </w:style>
  <w:style w:type="character" w:styleId="Hipervnculo">
    <w:name w:val="Hyperlink"/>
    <w:qFormat w:val="1"/>
    <w:rPr>
      <w:color w:val="0000ff"/>
      <w:w w:val="100"/>
      <w:position w:val="-1"/>
      <w:u w:val="single"/>
      <w:effect w:val="none"/>
      <w:vertAlign w:val="baseline"/>
      <w:cs w:val="0"/>
      <w:em w:val="none"/>
    </w:rPr>
  </w:style>
  <w:style w:type="paragraph" w:styleId="Prrafodelista">
    <w:name w:val="List Paragraph"/>
    <w:basedOn w:val="Normal"/>
    <w:uiPriority w:val="34"/>
    <w:qFormat w:val="1"/>
    <w:pPr>
      <w:spacing w:after="160" w:line="259" w:lineRule="auto"/>
      <w:ind w:left="720"/>
      <w:contextualSpacing w:val="1"/>
    </w:pPr>
    <w:rPr>
      <w:rFonts w:ascii="Calibri" w:cs="Times New Roman" w:eastAsia="Calibri" w:hAnsi="Calibri"/>
      <w:sz w:val="22"/>
      <w:szCs w:val="22"/>
      <w:lang w:eastAsia="en-US" w:val="es-CL"/>
    </w:rPr>
  </w:style>
  <w:style w:type="character" w:styleId="Refdecomentario">
    <w:name w:val="annotation reference"/>
    <w:uiPriority w:val="99"/>
    <w:rPr>
      <w:w w:val="100"/>
      <w:position w:val="-1"/>
      <w:sz w:val="16"/>
      <w:szCs w:val="16"/>
      <w:effect w:val="none"/>
      <w:vertAlign w:val="baseline"/>
      <w:cs w:val="0"/>
      <w:em w:val="none"/>
    </w:rPr>
  </w:style>
  <w:style w:type="paragraph" w:styleId="Textocomentario">
    <w:name w:val="annotation text"/>
    <w:basedOn w:val="Normal"/>
    <w:uiPriority w:val="99"/>
    <w:pPr>
      <w:suppressAutoHyphens w:val="0"/>
    </w:pPr>
    <w:rPr>
      <w:rFonts w:ascii="Times New Roman" w:hAnsi="Times New Roman"/>
      <w:szCs w:val="20"/>
      <w:lang w:bidi="he-IL" w:eastAsia="he-IL"/>
    </w:rPr>
  </w:style>
  <w:style w:type="character" w:styleId="TextocomentarioCar" w:customStyle="1">
    <w:name w:val="Texto comentario Car"/>
    <w:uiPriority w:val="99"/>
    <w:rPr>
      <w:w w:val="100"/>
      <w:position w:val="-1"/>
      <w:effect w:val="none"/>
      <w:vertAlign w:val="baseline"/>
      <w:cs w:val="0"/>
      <w:em w:val="none"/>
      <w:lang w:bidi="he-IL" w:eastAsia="he-IL"/>
    </w:rPr>
  </w:style>
  <w:style w:type="paragraph" w:styleId="Asuntodelcomentario">
    <w:name w:val="annotation subject"/>
    <w:basedOn w:val="Textocomentario"/>
    <w:next w:val="Textocomentario"/>
    <w:pPr>
      <w:suppressAutoHyphens w:val="1"/>
    </w:pPr>
    <w:rPr>
      <w:rFonts w:ascii="Tahoma" w:hAnsi="Tahoma"/>
      <w:b w:val="1"/>
      <w:bCs w:val="1"/>
      <w:lang w:bidi="ar-SA" w:eastAsia="es-ES"/>
    </w:rPr>
  </w:style>
  <w:style w:type="character" w:styleId="AsuntodelcomentarioCar" w:customStyle="1">
    <w:name w:val="Asunto del comentario Car"/>
    <w:rPr>
      <w:rFonts w:ascii="Tahoma" w:hAnsi="Tahoma"/>
      <w:b w:val="1"/>
      <w:bCs w:val="1"/>
      <w:w w:val="100"/>
      <w:position w:val="-1"/>
      <w:effect w:val="none"/>
      <w:vertAlign w:val="baseline"/>
      <w:cs w:val="0"/>
      <w:em w:val="none"/>
      <w:lang w:bidi="he-IL" w:eastAsia="he-IL"/>
    </w:rPr>
  </w:style>
  <w:style w:type="paragraph" w:styleId="Normal1" w:customStyle="1">
    <w:name w:val="Normal1"/>
    <w:pPr>
      <w:suppressAutoHyphens w:val="1"/>
      <w:spacing w:line="1" w:lineRule="atLeast"/>
      <w:ind w:left="-1" w:leftChars="-1" w:hanging="1" w:hangingChars="1"/>
      <w:contextualSpacing w:val="1"/>
      <w:textDirection w:val="btLr"/>
      <w:textAlignment w:val="top"/>
      <w:outlineLvl w:val="0"/>
    </w:pPr>
    <w:rPr>
      <w:rFonts w:ascii="Cambria" w:cs="Cambria" w:eastAsia="Cambria" w:hAnsi="Cambria"/>
      <w:color w:val="000000"/>
      <w:position w:val="-1"/>
      <w:sz w:val="24"/>
      <w:szCs w:val="22"/>
      <w:lang w:eastAsia="es-CL" w:val="es-CL"/>
    </w:rPr>
  </w:style>
  <w:style w:type="paragraph" w:styleId="hangola" w:customStyle="1">
    <w:name w:val="hangola"/>
    <w:basedOn w:val="Normal"/>
    <w:pPr>
      <w:spacing w:after="100" w:afterAutospacing="1" w:before="100" w:beforeAutospacing="1"/>
    </w:pPr>
    <w:rPr>
      <w:rFonts w:ascii="Times New Roman" w:hAnsi="Times New Roman"/>
      <w:sz w:val="24"/>
      <w:lang w:eastAsia="es-CL" w:val="es-CL"/>
    </w:rPr>
  </w:style>
  <w:style w:type="paragraph" w:styleId="hangol" w:customStyle="1">
    <w:name w:val="hangol"/>
    <w:basedOn w:val="Normal"/>
    <w:pPr>
      <w:spacing w:after="100" w:afterAutospacing="1" w:before="100" w:beforeAutospacing="1"/>
    </w:pPr>
    <w:rPr>
      <w:rFonts w:ascii="Times New Roman" w:hAnsi="Times New Roman"/>
      <w:sz w:val="24"/>
      <w:lang w:eastAsia="es-CL" w:val="es-CL"/>
    </w:rPr>
  </w:style>
  <w:style w:type="paragraph" w:styleId="HTMLconformatoprevio">
    <w:name w:val="HTML Preformatted"/>
    <w:basedOn w:val="Normal"/>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Cs w:val="20"/>
      <w:lang w:eastAsia="es-CL" w:val="es-CL"/>
    </w:rPr>
  </w:style>
  <w:style w:type="character" w:styleId="HTMLconformatoprevioCar" w:customStyle="1">
    <w:name w:val="HTML con formato previo Car"/>
    <w:rPr>
      <w:rFonts w:ascii="Courier New" w:cs="Courier New" w:hAnsi="Courier New"/>
      <w:w w:val="100"/>
      <w:position w:val="-1"/>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sz w:val="24"/>
      <w:szCs w:val="24"/>
      <w:lang w:eastAsia="es-CL" w:val="es-CL"/>
    </w:rPr>
  </w:style>
  <w:style w:type="character" w:styleId="corchete-llamada1" w:customStyle="1">
    <w:name w:val="corchete-llamada1"/>
    <w:rPr>
      <w:vanish w:val="1"/>
      <w:w w:val="100"/>
      <w:position w:val="-1"/>
      <w:effect w:val="none"/>
      <w:vertAlign w:val="baseline"/>
      <w:cs w:val="0"/>
      <w:em w:val="none"/>
    </w:rPr>
  </w:style>
  <w:style w:type="character" w:styleId="mw-headline" w:customStyle="1">
    <w:name w:val="mw-headline"/>
    <w:rPr>
      <w:w w:val="100"/>
      <w:position w:val="-1"/>
      <w:effect w:val="none"/>
      <w:vertAlign w:val="baseline"/>
      <w:cs w:val="0"/>
      <w:em w:val="none"/>
    </w:rPr>
  </w:style>
  <w:style w:type="character" w:styleId="TextonotapieCar" w:customStyle="1">
    <w:name w:val="Texto nota pie Car"/>
    <w:rPr>
      <w:w w:val="100"/>
      <w:position w:val="-1"/>
      <w:effect w:val="none"/>
      <w:vertAlign w:val="baseline"/>
      <w:cs w:val="0"/>
      <w:em w:val="none"/>
    </w:rPr>
  </w:style>
  <w:style w:type="character" w:styleId="nfasis">
    <w:name w:val="Emphasis"/>
    <w:rPr>
      <w:i w:val="1"/>
      <w:iCs w:val="1"/>
      <w:w w:val="100"/>
      <w:position w:val="-1"/>
      <w:effect w:val="none"/>
      <w:vertAlign w:val="baseline"/>
      <w:cs w:val="0"/>
      <w:em w:val="none"/>
    </w:rPr>
  </w:style>
  <w:style w:type="character" w:styleId="PiedepginaCar" w:customStyle="1">
    <w:name w:val="Pie de página Car"/>
    <w:rPr>
      <w:rFonts w:ascii="Tahoma" w:hAnsi="Tahoma"/>
      <w:w w:val="100"/>
      <w:position w:val="-1"/>
      <w:szCs w:val="24"/>
      <w:effect w:val="none"/>
      <w:vertAlign w:val="baseline"/>
      <w:cs w:val="0"/>
      <w:em w:val="none"/>
      <w:lang w:eastAsia="es-ES" w:val="es-ES"/>
    </w:rPr>
  </w:style>
  <w:style w:type="paragraph" w:styleId="Revisin">
    <w:name w:val="Revision"/>
    <w:pPr>
      <w:suppressAutoHyphens w:val="1"/>
      <w:spacing w:line="1" w:lineRule="atLeast"/>
      <w:ind w:left="-1" w:leftChars="-1" w:hanging="1" w:hangingChars="1"/>
      <w:textDirection w:val="btLr"/>
      <w:textAlignment w:val="top"/>
      <w:outlineLvl w:val="0"/>
    </w:pPr>
    <w:rPr>
      <w:position w:val="-1"/>
      <w:szCs w:val="24"/>
      <w:lang w:eastAsia="es-ES"/>
    </w:rPr>
  </w:style>
  <w:style w:type="paragraph" w:styleId="Cuerpo" w:customStyle="1">
    <w:name w:val="Cuerpo"/>
    <w:pPr>
      <w:pBdr>
        <w:top w:space="0" w:sz="0" w:val="nil"/>
        <w:left w:space="0" w:sz="0" w:val="nil"/>
        <w:bottom w:space="0" w:sz="0" w:val="nil"/>
        <w:right w:space="0" w:sz="0" w:val="nil"/>
        <w:between w:space="0" w:sz="0" w:val="nil"/>
        <w:bar w:space="0" w:sz="0" w:val="nil"/>
      </w:pBdr>
      <w:suppressAutoHyphens w:val="1"/>
      <w:spacing w:line="1" w:lineRule="atLeast"/>
      <w:ind w:left="-1" w:leftChars="-1" w:hanging="1" w:hangingChars="1"/>
      <w:textDirection w:val="btLr"/>
      <w:textAlignment w:val="top"/>
      <w:outlineLvl w:val="0"/>
    </w:pPr>
    <w:rPr>
      <w:rFonts w:cs="Arial Unicode MS" w:eastAsia="Arial Unicode MS" w:hAnsi="Arial Unicode MS"/>
      <w:color w:val="000000"/>
      <w:position w:val="-1"/>
      <w:bdr w:space="0" w:sz="0" w:val="nil"/>
      <w:lang w:eastAsia="es-ES"/>
    </w:rPr>
  </w:style>
  <w:style w:type="character" w:styleId="Ttulo1Car" w:customStyle="1">
    <w:name w:val="Título 1 Car"/>
    <w:rPr>
      <w:rFonts w:ascii="Cambria" w:cs="Times New Roman" w:eastAsia="Times New Roman" w:hAnsi="Cambria"/>
      <w:b w:val="1"/>
      <w:bCs w:val="1"/>
      <w:w w:val="100"/>
      <w:kern w:val="32"/>
      <w:position w:val="-1"/>
      <w:sz w:val="32"/>
      <w:szCs w:val="32"/>
      <w:effect w:val="none"/>
      <w:vertAlign w:val="baseline"/>
      <w:cs w:val="0"/>
      <w:em w:val="none"/>
      <w:lang w:eastAsia="es-ES" w:val="es-ES"/>
    </w:rPr>
  </w:style>
  <w:style w:type="paragraph" w:styleId="Listaconvietas">
    <w:name w:val="List Bullet"/>
    <w:basedOn w:val="Normal"/>
    <w:qFormat w:val="1"/>
    <w:pPr>
      <w:numPr>
        <w:numId w:val="11"/>
      </w:numPr>
      <w:pBdr>
        <w:top w:space="0" w:sz="0" w:val="nil"/>
        <w:left w:space="0" w:sz="0" w:val="nil"/>
        <w:bottom w:space="0" w:sz="0" w:val="nil"/>
        <w:right w:space="0" w:sz="0" w:val="nil"/>
        <w:between w:space="0" w:sz="0" w:val="nil"/>
        <w:bar w:space="0" w:sz="0" w:val="nil"/>
      </w:pBdr>
      <w:ind w:left="-1" w:hanging="1"/>
      <w:contextualSpacing w:val="1"/>
    </w:pPr>
    <w:rPr>
      <w:rFonts w:ascii="Times New Roman" w:eastAsia="Arial Unicode MS" w:hAnsi="Times New Roman"/>
      <w:sz w:val="24"/>
      <w:bdr w:space="0" w:sz="0" w:val="nil"/>
      <w:lang w:eastAsia="en-US" w:val="en-US"/>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ogleadservices.com/pagead/aclk?sa=L&amp;ai=DChcSEwjJ4Jno_pfUAhUCBpEKHX8AAQoYABAAGgJjZQ&amp;ohost=www.google.cl&amp;cid=CAESEeD2FRzcQm47fHycWeI99iqb&amp;sig=AOD64_3VCU_GLQtFkmM2ReSVDMamM0xZoQ&amp;q=&amp;ved=0ahUKEwjb_ZLo_pfUAhWDhZAKHfsrC3IQ0QwIWg&amp;adurl=" TargetMode="External"/><Relationship Id="rId10" Type="http://schemas.openxmlformats.org/officeDocument/2006/relationships/hyperlink" Target="http://academics.smcvt.edu/cbauer-ramazani/Links/esl_reading.htm"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sl.about.com/od/englishlistening/English_Listening_Skills_and_ActivitiesEffective_Listening_Practice.h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5IRhgkQmgR/D2gDhzutfqZPLJg==">AMUW2mUnFVYX1MY8Fwb/D2CzsU40Uq140XPOShfQ3fBSS77tOx4mnHNgP5qHMz0sH4Ra9xn5TtlHfiBzxTQWdo/VpWppfCYh3tQz25DOPB5mqD8OvFozvqEivm9mSe2SGeiVzPu0rLHZ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2020-09-03T00:05:00Z</dcterms:created>
  <dc:creator>Florencia Jofré Manieu;Sebastián Godoy Reyes</dc:creator>
</cp:coreProperties>
</file>