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0" w:hanging="2"/>
        <w:jc w:val="center"/>
        <w:rPr>
          <w:rFonts w:ascii="Calibri" w:cs="Calibri" w:eastAsia="Calibri" w:hAnsi="Calibri"/>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wp:posOffset>
            </wp:positionH>
            <wp:positionV relativeFrom="paragraph">
              <wp:posOffset>0</wp:posOffset>
            </wp:positionV>
            <wp:extent cx="1514475" cy="720090"/>
            <wp:effectExtent b="0" l="0" r="0" t="0"/>
            <wp:wrapSquare wrapText="bothSides" distB="0" distT="0" distL="114300" distR="114300"/>
            <wp:docPr id="4"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1514475" cy="72009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3911600</wp:posOffset>
                </wp:positionH>
                <wp:positionV relativeFrom="paragraph">
                  <wp:posOffset>-50799</wp:posOffset>
                </wp:positionV>
                <wp:extent cx="1806695" cy="390525"/>
                <wp:effectExtent b="0" l="0" r="0" t="0"/>
                <wp:wrapNone/>
                <wp:docPr id="3" name=""/>
                <a:graphic>
                  <a:graphicData uri="http://schemas.microsoft.com/office/word/2010/wordprocessingShape">
                    <wps:wsp>
                      <wps:cNvSpPr/>
                      <wps:cNvPr id="2" name="Shape 2"/>
                      <wps:spPr>
                        <a:xfrm>
                          <a:off x="4447415" y="3589500"/>
                          <a:ext cx="1797170" cy="3810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2.0000000298023224"/>
                              <w:jc w:val="center"/>
                              <w:textDirection w:val="btLr"/>
                            </w:pPr>
                            <w:r w:rsidDel="00000000" w:rsidR="00000000" w:rsidRPr="00000000">
                              <w:rPr>
                                <w:rFonts w:ascii="Tahoma" w:cs="Tahoma" w:eastAsia="Tahoma" w:hAnsi="Tahoma"/>
                                <w:b w:val="0"/>
                                <w:i w:val="0"/>
                                <w:smallCaps w:val="0"/>
                                <w:strike w:val="0"/>
                                <w:color w:val="000000"/>
                                <w:sz w:val="18"/>
                                <w:vertAlign w:val="baseline"/>
                              </w:rPr>
                              <w:t xml:space="preserve">Programa orientado por competencias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3911600</wp:posOffset>
                </wp:positionH>
                <wp:positionV relativeFrom="paragraph">
                  <wp:posOffset>-50799</wp:posOffset>
                </wp:positionV>
                <wp:extent cx="1806695" cy="390525"/>
                <wp:effectExtent b="0" l="0" r="0" t="0"/>
                <wp:wrapNone/>
                <wp:docPr id="3"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1806695" cy="390525"/>
                        </a:xfrm>
                        <a:prstGeom prst="rect"/>
                        <a:ln/>
                      </pic:spPr>
                    </pic:pic>
                  </a:graphicData>
                </a:graphic>
              </wp:anchor>
            </w:drawing>
          </mc:Fallback>
        </mc:AlternateContent>
      </w:r>
    </w:p>
    <w:p w:rsidR="00000000" w:rsidDel="00000000" w:rsidP="00000000" w:rsidRDefault="00000000" w:rsidRPr="00000000" w14:paraId="00000002">
      <w:pPr>
        <w:ind w:left="0" w:hanging="2"/>
        <w:jc w:val="cente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03">
      <w:pPr>
        <w:ind w:left="0" w:hanging="2"/>
        <w:jc w:val="cente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04">
      <w:pPr>
        <w:ind w:left="0" w:hanging="2"/>
        <w:jc w:val="cente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05">
      <w:pPr>
        <w:ind w:left="0" w:hanging="2"/>
        <w:jc w:val="cente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06">
      <w:pPr>
        <w:ind w:left="0" w:hanging="2"/>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Programa de Asignatura</w:t>
      </w:r>
      <w:r w:rsidDel="00000000" w:rsidR="00000000" w:rsidRPr="00000000">
        <w:rPr>
          <w:rtl w:val="0"/>
        </w:rPr>
      </w:r>
    </w:p>
    <w:p w:rsidR="00000000" w:rsidDel="00000000" w:rsidP="00000000" w:rsidRDefault="00000000" w:rsidRPr="00000000" w14:paraId="00000007">
      <w:pPr>
        <w:ind w:left="0" w:hanging="2"/>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DESARROLLO DEL PENSAMIENTO A TRAVÉS DEL CURRÍCULUM ESCOLAR</w:t>
      </w:r>
      <w:r w:rsidDel="00000000" w:rsidR="00000000" w:rsidRPr="00000000">
        <w:rPr>
          <w:rtl w:val="0"/>
        </w:rPr>
      </w:r>
    </w:p>
    <w:p w:rsidR="00000000" w:rsidDel="00000000" w:rsidP="00000000" w:rsidRDefault="00000000" w:rsidRPr="00000000" w14:paraId="00000008">
      <w:pPr>
        <w:ind w:left="0" w:hanging="2"/>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09">
      <w:pPr>
        <w:ind w:left="0" w:hanging="2"/>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A. Antecedentes Generales</w:t>
      </w:r>
      <w:r w:rsidDel="00000000" w:rsidR="00000000" w:rsidRPr="00000000">
        <w:rPr>
          <w:rtl w:val="0"/>
        </w:rPr>
      </w:r>
    </w:p>
    <w:p w:rsidR="00000000" w:rsidDel="00000000" w:rsidP="00000000" w:rsidRDefault="00000000" w:rsidRPr="00000000" w14:paraId="0000000A">
      <w:pPr>
        <w:ind w:left="0" w:hanging="2"/>
        <w:rPr>
          <w:rFonts w:ascii="Calibri" w:cs="Calibri" w:eastAsia="Calibri" w:hAnsi="Calibri"/>
          <w:sz w:val="22"/>
          <w:szCs w:val="22"/>
        </w:rPr>
      </w:pPr>
      <w:r w:rsidDel="00000000" w:rsidR="00000000" w:rsidRPr="00000000">
        <w:rPr>
          <w:rtl w:val="0"/>
        </w:rPr>
      </w:r>
    </w:p>
    <w:tbl>
      <w:tblPr>
        <w:tblStyle w:val="Table1"/>
        <w:tblW w:w="883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60"/>
        <w:gridCol w:w="1446"/>
        <w:gridCol w:w="567"/>
        <w:gridCol w:w="1701"/>
        <w:gridCol w:w="567"/>
        <w:gridCol w:w="704"/>
        <w:gridCol w:w="572"/>
        <w:gridCol w:w="613"/>
        <w:tblGridChange w:id="0">
          <w:tblGrid>
            <w:gridCol w:w="2660"/>
            <w:gridCol w:w="1446"/>
            <w:gridCol w:w="567"/>
            <w:gridCol w:w="1701"/>
            <w:gridCol w:w="567"/>
            <w:gridCol w:w="704"/>
            <w:gridCol w:w="572"/>
            <w:gridCol w:w="613"/>
          </w:tblGrid>
        </w:tblGridChange>
      </w:tblGrid>
      <w:tr>
        <w:tc>
          <w:tcPr/>
          <w:p w:rsidR="00000000" w:rsidDel="00000000" w:rsidP="00000000" w:rsidRDefault="00000000" w:rsidRPr="00000000" w14:paraId="0000000B">
            <w:pPr>
              <w:numPr>
                <w:ilvl w:val="0"/>
                <w:numId w:val="1"/>
              </w:numPr>
              <w:pBdr>
                <w:top w:space="0" w:sz="0" w:val="nil"/>
                <w:left w:space="0" w:sz="0" w:val="nil"/>
                <w:bottom w:space="0" w:sz="0" w:val="nil"/>
                <w:right w:space="0" w:sz="0" w:val="nil"/>
                <w:between w:space="0" w:sz="0" w:val="nil"/>
              </w:pBdr>
              <w:spacing w:after="160" w:line="259" w:lineRule="auto"/>
              <w:ind w:left="0" w:hanging="2"/>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Unidad Académica</w:t>
            </w:r>
            <w:r w:rsidDel="00000000" w:rsidR="00000000" w:rsidRPr="00000000">
              <w:rPr>
                <w:rtl w:val="0"/>
              </w:rPr>
            </w:r>
          </w:p>
        </w:tc>
        <w:tc>
          <w:tcPr>
            <w:gridSpan w:val="7"/>
          </w:tcPr>
          <w:p w:rsidR="00000000" w:rsidDel="00000000" w:rsidP="00000000" w:rsidRDefault="00000000" w:rsidRPr="00000000" w14:paraId="0000000C">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FACULTAD DE EDUCACIÓN</w:t>
            </w:r>
          </w:p>
        </w:tc>
      </w:tr>
      <w:tr>
        <w:tc>
          <w:tcPr/>
          <w:p w:rsidR="00000000" w:rsidDel="00000000" w:rsidP="00000000" w:rsidRDefault="00000000" w:rsidRPr="00000000" w14:paraId="00000013">
            <w:pPr>
              <w:numPr>
                <w:ilvl w:val="0"/>
                <w:numId w:val="1"/>
              </w:numPr>
              <w:pBdr>
                <w:top w:space="0" w:sz="0" w:val="nil"/>
                <w:left w:space="0" w:sz="0" w:val="nil"/>
                <w:bottom w:space="0" w:sz="0" w:val="nil"/>
                <w:right w:space="0" w:sz="0" w:val="nil"/>
                <w:between w:space="0" w:sz="0" w:val="nil"/>
              </w:pBdr>
              <w:spacing w:after="160" w:line="259" w:lineRule="auto"/>
              <w:ind w:left="0" w:hanging="2"/>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Carrera</w:t>
            </w:r>
            <w:r w:rsidDel="00000000" w:rsidR="00000000" w:rsidRPr="00000000">
              <w:rPr>
                <w:rtl w:val="0"/>
              </w:rPr>
            </w:r>
          </w:p>
        </w:tc>
        <w:tc>
          <w:tcPr>
            <w:gridSpan w:val="7"/>
          </w:tcPr>
          <w:p w:rsidR="00000000" w:rsidDel="00000000" w:rsidP="00000000" w:rsidRDefault="00000000" w:rsidRPr="00000000" w14:paraId="00000014">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PEDAGOGÍA EN EDUCACIÓN BÁSICA CON MENCIÓN INGLÉS</w:t>
            </w:r>
          </w:p>
        </w:tc>
      </w:tr>
      <w:tr>
        <w:tc>
          <w:tcPr/>
          <w:p w:rsidR="00000000" w:rsidDel="00000000" w:rsidP="00000000" w:rsidRDefault="00000000" w:rsidRPr="00000000" w14:paraId="0000001B">
            <w:pPr>
              <w:numPr>
                <w:ilvl w:val="0"/>
                <w:numId w:val="1"/>
              </w:numPr>
              <w:pBdr>
                <w:top w:space="0" w:sz="0" w:val="nil"/>
                <w:left w:space="0" w:sz="0" w:val="nil"/>
                <w:bottom w:space="0" w:sz="0" w:val="nil"/>
                <w:right w:space="0" w:sz="0" w:val="nil"/>
                <w:between w:space="0" w:sz="0" w:val="nil"/>
              </w:pBdr>
              <w:spacing w:after="160" w:line="259" w:lineRule="auto"/>
              <w:ind w:left="0" w:hanging="2"/>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Código </w:t>
            </w:r>
            <w:r w:rsidDel="00000000" w:rsidR="00000000" w:rsidRPr="00000000">
              <w:rPr>
                <w:rtl w:val="0"/>
              </w:rPr>
            </w:r>
          </w:p>
        </w:tc>
        <w:tc>
          <w:tcPr>
            <w:gridSpan w:val="7"/>
          </w:tcPr>
          <w:p w:rsidR="00000000" w:rsidDel="00000000" w:rsidP="00000000" w:rsidRDefault="00000000" w:rsidRPr="00000000" w14:paraId="0000001C">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EBD226</w:t>
            </w:r>
          </w:p>
        </w:tc>
      </w:tr>
      <w:tr>
        <w:tc>
          <w:tcPr/>
          <w:p w:rsidR="00000000" w:rsidDel="00000000" w:rsidP="00000000" w:rsidRDefault="00000000" w:rsidRPr="00000000" w14:paraId="00000023">
            <w:pPr>
              <w:numPr>
                <w:ilvl w:val="0"/>
                <w:numId w:val="1"/>
              </w:numPr>
              <w:pBdr>
                <w:top w:space="0" w:sz="0" w:val="nil"/>
                <w:left w:space="0" w:sz="0" w:val="nil"/>
                <w:bottom w:space="0" w:sz="0" w:val="nil"/>
                <w:right w:space="0" w:sz="0" w:val="nil"/>
                <w:between w:space="0" w:sz="0" w:val="nil"/>
              </w:pBdr>
              <w:spacing w:after="160" w:line="259" w:lineRule="auto"/>
              <w:ind w:left="0" w:hanging="2"/>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Ubicación en la malla</w:t>
            </w:r>
            <w:r w:rsidDel="00000000" w:rsidR="00000000" w:rsidRPr="00000000">
              <w:rPr>
                <w:rtl w:val="0"/>
              </w:rPr>
            </w:r>
          </w:p>
        </w:tc>
        <w:tc>
          <w:tcPr>
            <w:gridSpan w:val="7"/>
          </w:tcPr>
          <w:p w:rsidR="00000000" w:rsidDel="00000000" w:rsidP="00000000" w:rsidRDefault="00000000" w:rsidRPr="00000000" w14:paraId="00000024">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II° Año, IV° Semestre</w:t>
            </w:r>
          </w:p>
        </w:tc>
      </w:tr>
      <w:tr>
        <w:tc>
          <w:tcPr/>
          <w:p w:rsidR="00000000" w:rsidDel="00000000" w:rsidP="00000000" w:rsidRDefault="00000000" w:rsidRPr="00000000" w14:paraId="0000002B">
            <w:pPr>
              <w:numPr>
                <w:ilvl w:val="0"/>
                <w:numId w:val="1"/>
              </w:numPr>
              <w:pBdr>
                <w:top w:space="0" w:sz="0" w:val="nil"/>
                <w:left w:space="0" w:sz="0" w:val="nil"/>
                <w:bottom w:space="0" w:sz="0" w:val="nil"/>
                <w:right w:space="0" w:sz="0" w:val="nil"/>
                <w:between w:space="0" w:sz="0" w:val="nil"/>
              </w:pBdr>
              <w:spacing w:after="160" w:line="259" w:lineRule="auto"/>
              <w:ind w:left="0" w:hanging="2"/>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Créditos</w:t>
            </w:r>
            <w:r w:rsidDel="00000000" w:rsidR="00000000" w:rsidRPr="00000000">
              <w:rPr>
                <w:rtl w:val="0"/>
              </w:rPr>
            </w:r>
          </w:p>
        </w:tc>
        <w:tc>
          <w:tcPr>
            <w:gridSpan w:val="7"/>
          </w:tcPr>
          <w:p w:rsidR="00000000" w:rsidDel="00000000" w:rsidP="00000000" w:rsidRDefault="00000000" w:rsidRPr="00000000" w14:paraId="0000002C">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8</w:t>
            </w:r>
          </w:p>
        </w:tc>
      </w:tr>
      <w:tr>
        <w:tc>
          <w:tcPr/>
          <w:p w:rsidR="00000000" w:rsidDel="00000000" w:rsidP="00000000" w:rsidRDefault="00000000" w:rsidRPr="00000000" w14:paraId="00000033">
            <w:pPr>
              <w:numPr>
                <w:ilvl w:val="0"/>
                <w:numId w:val="1"/>
              </w:numPr>
              <w:pBdr>
                <w:top w:space="0" w:sz="0" w:val="nil"/>
                <w:left w:space="0" w:sz="0" w:val="nil"/>
                <w:bottom w:space="0" w:sz="0" w:val="nil"/>
                <w:right w:space="0" w:sz="0" w:val="nil"/>
                <w:between w:space="0" w:sz="0" w:val="nil"/>
              </w:pBdr>
              <w:spacing w:after="160" w:line="259" w:lineRule="auto"/>
              <w:ind w:left="0" w:hanging="2"/>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Tipo de asignatura </w:t>
            </w:r>
            <w:r w:rsidDel="00000000" w:rsidR="00000000" w:rsidRPr="00000000">
              <w:rPr>
                <w:rtl w:val="0"/>
              </w:rPr>
            </w:r>
          </w:p>
        </w:tc>
        <w:tc>
          <w:tcPr/>
          <w:p w:rsidR="00000000" w:rsidDel="00000000" w:rsidP="00000000" w:rsidRDefault="00000000" w:rsidRPr="00000000" w14:paraId="00000034">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Obligatorio </w:t>
            </w:r>
          </w:p>
        </w:tc>
        <w:tc>
          <w:tcPr/>
          <w:p w:rsidR="00000000" w:rsidDel="00000000" w:rsidP="00000000" w:rsidRDefault="00000000" w:rsidRPr="00000000" w14:paraId="00000035">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x</w:t>
            </w:r>
          </w:p>
        </w:tc>
        <w:tc>
          <w:tcPr/>
          <w:p w:rsidR="00000000" w:rsidDel="00000000" w:rsidP="00000000" w:rsidRDefault="00000000" w:rsidRPr="00000000" w14:paraId="00000036">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Electivo </w:t>
            </w:r>
          </w:p>
        </w:tc>
        <w:tc>
          <w:tcPr/>
          <w:p w:rsidR="00000000" w:rsidDel="00000000" w:rsidP="00000000" w:rsidRDefault="00000000" w:rsidRPr="00000000" w14:paraId="00000037">
            <w:pPr>
              <w:ind w:left="0" w:hanging="2"/>
              <w:rPr>
                <w:rFonts w:ascii="Calibri" w:cs="Calibri" w:eastAsia="Calibri" w:hAnsi="Calibri"/>
                <w:sz w:val="22"/>
                <w:szCs w:val="22"/>
              </w:rPr>
            </w:pPr>
            <w:r w:rsidDel="00000000" w:rsidR="00000000" w:rsidRPr="00000000">
              <w:rPr>
                <w:rtl w:val="0"/>
              </w:rPr>
            </w:r>
          </w:p>
        </w:tc>
        <w:tc>
          <w:tcPr>
            <w:gridSpan w:val="2"/>
          </w:tcPr>
          <w:p w:rsidR="00000000" w:rsidDel="00000000" w:rsidP="00000000" w:rsidRDefault="00000000" w:rsidRPr="00000000" w14:paraId="00000038">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Optativo</w:t>
            </w:r>
          </w:p>
        </w:tc>
        <w:tc>
          <w:tcPr/>
          <w:p w:rsidR="00000000" w:rsidDel="00000000" w:rsidP="00000000" w:rsidRDefault="00000000" w:rsidRPr="00000000" w14:paraId="0000003A">
            <w:pPr>
              <w:ind w:left="0" w:hanging="2"/>
              <w:rPr>
                <w:rFonts w:ascii="Calibri" w:cs="Calibri" w:eastAsia="Calibri" w:hAnsi="Calibri"/>
                <w:sz w:val="22"/>
                <w:szCs w:val="22"/>
              </w:rPr>
            </w:pPr>
            <w:r w:rsidDel="00000000" w:rsidR="00000000" w:rsidRPr="00000000">
              <w:rPr>
                <w:rtl w:val="0"/>
              </w:rPr>
            </w:r>
          </w:p>
        </w:tc>
      </w:tr>
      <w:tr>
        <w:tc>
          <w:tcPr/>
          <w:p w:rsidR="00000000" w:rsidDel="00000000" w:rsidP="00000000" w:rsidRDefault="00000000" w:rsidRPr="00000000" w14:paraId="0000003B">
            <w:pPr>
              <w:numPr>
                <w:ilvl w:val="0"/>
                <w:numId w:val="1"/>
              </w:numPr>
              <w:pBdr>
                <w:top w:space="0" w:sz="0" w:val="nil"/>
                <w:left w:space="0" w:sz="0" w:val="nil"/>
                <w:bottom w:space="0" w:sz="0" w:val="nil"/>
                <w:right w:space="0" w:sz="0" w:val="nil"/>
                <w:between w:space="0" w:sz="0" w:val="nil"/>
              </w:pBdr>
              <w:spacing w:after="160" w:line="259" w:lineRule="auto"/>
              <w:ind w:left="0" w:hanging="2"/>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Duración</w:t>
            </w:r>
            <w:r w:rsidDel="00000000" w:rsidR="00000000" w:rsidRPr="00000000">
              <w:rPr>
                <w:rtl w:val="0"/>
              </w:rPr>
            </w:r>
          </w:p>
        </w:tc>
        <w:tc>
          <w:tcPr/>
          <w:p w:rsidR="00000000" w:rsidDel="00000000" w:rsidP="00000000" w:rsidRDefault="00000000" w:rsidRPr="00000000" w14:paraId="0000003C">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Bimestral</w:t>
            </w:r>
          </w:p>
        </w:tc>
        <w:tc>
          <w:tcPr/>
          <w:p w:rsidR="00000000" w:rsidDel="00000000" w:rsidP="00000000" w:rsidRDefault="00000000" w:rsidRPr="00000000" w14:paraId="0000003D">
            <w:pPr>
              <w:ind w:left="0" w:hanging="2"/>
              <w:jc w:val="center"/>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03E">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Semestral</w:t>
            </w:r>
          </w:p>
        </w:tc>
        <w:tc>
          <w:tcPr/>
          <w:p w:rsidR="00000000" w:rsidDel="00000000" w:rsidP="00000000" w:rsidRDefault="00000000" w:rsidRPr="00000000" w14:paraId="0000003F">
            <w:pPr>
              <w:ind w:left="0" w:hanging="2"/>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x</w:t>
            </w:r>
          </w:p>
        </w:tc>
        <w:tc>
          <w:tcPr>
            <w:gridSpan w:val="2"/>
          </w:tcPr>
          <w:p w:rsidR="00000000" w:rsidDel="00000000" w:rsidP="00000000" w:rsidRDefault="00000000" w:rsidRPr="00000000" w14:paraId="00000040">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Anual</w:t>
            </w:r>
          </w:p>
        </w:tc>
        <w:tc>
          <w:tcPr/>
          <w:p w:rsidR="00000000" w:rsidDel="00000000" w:rsidP="00000000" w:rsidRDefault="00000000" w:rsidRPr="00000000" w14:paraId="00000042">
            <w:pPr>
              <w:ind w:left="0" w:hanging="2"/>
              <w:jc w:val="center"/>
              <w:rPr>
                <w:rFonts w:ascii="Calibri" w:cs="Calibri" w:eastAsia="Calibri" w:hAnsi="Calibri"/>
                <w:sz w:val="22"/>
                <w:szCs w:val="22"/>
              </w:rPr>
            </w:pPr>
            <w:r w:rsidDel="00000000" w:rsidR="00000000" w:rsidRPr="00000000">
              <w:rPr>
                <w:rtl w:val="0"/>
              </w:rPr>
            </w:r>
          </w:p>
        </w:tc>
      </w:tr>
      <w:tr>
        <w:tc>
          <w:tcPr/>
          <w:p w:rsidR="00000000" w:rsidDel="00000000" w:rsidP="00000000" w:rsidRDefault="00000000" w:rsidRPr="00000000" w14:paraId="00000043">
            <w:pPr>
              <w:numPr>
                <w:ilvl w:val="0"/>
                <w:numId w:val="1"/>
              </w:numPr>
              <w:pBdr>
                <w:top w:space="0" w:sz="0" w:val="nil"/>
                <w:left w:space="0" w:sz="0" w:val="nil"/>
                <w:bottom w:space="0" w:sz="0" w:val="nil"/>
                <w:right w:space="0" w:sz="0" w:val="nil"/>
                <w:between w:space="0" w:sz="0" w:val="nil"/>
              </w:pBdr>
              <w:spacing w:after="160" w:line="259" w:lineRule="auto"/>
              <w:ind w:left="0" w:hanging="2"/>
              <w:rPr>
                <w:rFonts w:ascii="Calibri" w:cs="Calibri" w:eastAsia="Calibri" w:hAnsi="Calibri"/>
                <w:color w:val="000000"/>
                <w:sz w:val="22"/>
                <w:szCs w:val="22"/>
                <w:highlight w:val="white"/>
              </w:rPr>
            </w:pPr>
            <w:r w:rsidDel="00000000" w:rsidR="00000000" w:rsidRPr="00000000">
              <w:rPr>
                <w:rFonts w:ascii="Calibri" w:cs="Calibri" w:eastAsia="Calibri" w:hAnsi="Calibri"/>
                <w:b w:val="1"/>
                <w:color w:val="000000"/>
                <w:sz w:val="22"/>
                <w:szCs w:val="22"/>
                <w:highlight w:val="white"/>
                <w:rtl w:val="0"/>
              </w:rPr>
              <w:t xml:space="preserve">Módulos semanales</w:t>
            </w:r>
            <w:r w:rsidDel="00000000" w:rsidR="00000000" w:rsidRPr="00000000">
              <w:rPr>
                <w:rtl w:val="0"/>
              </w:rPr>
            </w:r>
          </w:p>
        </w:tc>
        <w:tc>
          <w:tcPr/>
          <w:p w:rsidR="00000000" w:rsidDel="00000000" w:rsidP="00000000" w:rsidRDefault="00000000" w:rsidRPr="00000000" w14:paraId="00000044">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Clases Teóricas</w:t>
            </w:r>
          </w:p>
        </w:tc>
        <w:tc>
          <w:tcPr/>
          <w:p w:rsidR="00000000" w:rsidDel="00000000" w:rsidP="00000000" w:rsidRDefault="00000000" w:rsidRPr="00000000" w14:paraId="00000045">
            <w:pPr>
              <w:ind w:left="0" w:hanging="2"/>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w:t>
            </w:r>
          </w:p>
        </w:tc>
        <w:tc>
          <w:tcPr/>
          <w:p w:rsidR="00000000" w:rsidDel="00000000" w:rsidP="00000000" w:rsidRDefault="00000000" w:rsidRPr="00000000" w14:paraId="00000046">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Clases Prácticas</w:t>
            </w:r>
          </w:p>
        </w:tc>
        <w:tc>
          <w:tcPr/>
          <w:p w:rsidR="00000000" w:rsidDel="00000000" w:rsidP="00000000" w:rsidRDefault="00000000" w:rsidRPr="00000000" w14:paraId="00000047">
            <w:pPr>
              <w:ind w:left="0" w:hanging="2"/>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w:t>
            </w:r>
          </w:p>
        </w:tc>
        <w:tc>
          <w:tcPr>
            <w:gridSpan w:val="2"/>
          </w:tcPr>
          <w:p w:rsidR="00000000" w:rsidDel="00000000" w:rsidP="00000000" w:rsidRDefault="00000000" w:rsidRPr="00000000" w14:paraId="00000048">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Ayudantía</w:t>
            </w:r>
          </w:p>
        </w:tc>
        <w:tc>
          <w:tcPr/>
          <w:p w:rsidR="00000000" w:rsidDel="00000000" w:rsidP="00000000" w:rsidRDefault="00000000" w:rsidRPr="00000000" w14:paraId="0000004A">
            <w:pPr>
              <w:ind w:left="0" w:hanging="2"/>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0</w:t>
            </w:r>
          </w:p>
        </w:tc>
      </w:tr>
      <w:tr>
        <w:tc>
          <w:tcPr/>
          <w:p w:rsidR="00000000" w:rsidDel="00000000" w:rsidP="00000000" w:rsidRDefault="00000000" w:rsidRPr="00000000" w14:paraId="0000004B">
            <w:pPr>
              <w:numPr>
                <w:ilvl w:val="0"/>
                <w:numId w:val="1"/>
              </w:numPr>
              <w:pBdr>
                <w:top w:space="0" w:sz="0" w:val="nil"/>
                <w:left w:space="0" w:sz="0" w:val="nil"/>
                <w:bottom w:space="0" w:sz="0" w:val="nil"/>
                <w:right w:space="0" w:sz="0" w:val="nil"/>
                <w:between w:space="0" w:sz="0" w:val="nil"/>
              </w:pBdr>
              <w:spacing w:after="160" w:line="259" w:lineRule="auto"/>
              <w:ind w:left="0" w:hanging="2"/>
              <w:rPr>
                <w:rFonts w:ascii="Calibri" w:cs="Calibri" w:eastAsia="Calibri" w:hAnsi="Calibri"/>
                <w:color w:val="000000"/>
                <w:sz w:val="22"/>
                <w:szCs w:val="22"/>
                <w:highlight w:val="white"/>
              </w:rPr>
            </w:pPr>
            <w:r w:rsidDel="00000000" w:rsidR="00000000" w:rsidRPr="00000000">
              <w:rPr>
                <w:rFonts w:ascii="Calibri" w:cs="Calibri" w:eastAsia="Calibri" w:hAnsi="Calibri"/>
                <w:b w:val="1"/>
                <w:color w:val="000000"/>
                <w:sz w:val="22"/>
                <w:szCs w:val="22"/>
                <w:highlight w:val="white"/>
                <w:rtl w:val="0"/>
              </w:rPr>
              <w:t xml:space="preserve">Horas académicas</w:t>
            </w:r>
            <w:r w:rsidDel="00000000" w:rsidR="00000000" w:rsidRPr="00000000">
              <w:rPr>
                <w:rtl w:val="0"/>
              </w:rPr>
            </w:r>
          </w:p>
        </w:tc>
        <w:tc>
          <w:tcPr/>
          <w:p w:rsidR="00000000" w:rsidDel="00000000" w:rsidP="00000000" w:rsidRDefault="00000000" w:rsidRPr="00000000" w14:paraId="0000004C">
            <w:pPr>
              <w:ind w:left="0" w:hanging="2"/>
              <w:jc w:val="righ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Clases</w:t>
            </w:r>
          </w:p>
        </w:tc>
        <w:tc>
          <w:tcPr/>
          <w:p w:rsidR="00000000" w:rsidDel="00000000" w:rsidP="00000000" w:rsidRDefault="00000000" w:rsidRPr="00000000" w14:paraId="0000004D">
            <w:pPr>
              <w:ind w:left="0" w:hanging="2"/>
              <w:jc w:val="righ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68</w:t>
            </w:r>
          </w:p>
        </w:tc>
        <w:tc>
          <w:tcPr>
            <w:gridSpan w:val="3"/>
          </w:tcPr>
          <w:p w:rsidR="00000000" w:rsidDel="00000000" w:rsidP="00000000" w:rsidRDefault="00000000" w:rsidRPr="00000000" w14:paraId="0000004E">
            <w:pPr>
              <w:ind w:left="0" w:hanging="2"/>
              <w:jc w:val="righ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Ayudantía</w:t>
            </w:r>
          </w:p>
        </w:tc>
        <w:tc>
          <w:tcPr>
            <w:gridSpan w:val="2"/>
          </w:tcPr>
          <w:p w:rsidR="00000000" w:rsidDel="00000000" w:rsidP="00000000" w:rsidRDefault="00000000" w:rsidRPr="00000000" w14:paraId="00000051">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0</w:t>
            </w:r>
          </w:p>
        </w:tc>
      </w:tr>
      <w:tr>
        <w:tc>
          <w:tcPr/>
          <w:p w:rsidR="00000000" w:rsidDel="00000000" w:rsidP="00000000" w:rsidRDefault="00000000" w:rsidRPr="00000000" w14:paraId="00000053">
            <w:pPr>
              <w:numPr>
                <w:ilvl w:val="0"/>
                <w:numId w:val="1"/>
              </w:numPr>
              <w:pBdr>
                <w:top w:space="0" w:sz="0" w:val="nil"/>
                <w:left w:space="0" w:sz="0" w:val="nil"/>
                <w:bottom w:space="0" w:sz="0" w:val="nil"/>
                <w:right w:space="0" w:sz="0" w:val="nil"/>
                <w:between w:space="0" w:sz="0" w:val="nil"/>
              </w:pBdr>
              <w:spacing w:after="160" w:line="259" w:lineRule="auto"/>
              <w:ind w:left="0" w:hanging="2"/>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Pre-requisito</w:t>
            </w:r>
            <w:r w:rsidDel="00000000" w:rsidR="00000000" w:rsidRPr="00000000">
              <w:rPr>
                <w:rtl w:val="0"/>
              </w:rPr>
            </w:r>
          </w:p>
        </w:tc>
        <w:tc>
          <w:tcPr>
            <w:gridSpan w:val="7"/>
          </w:tcPr>
          <w:p w:rsidR="00000000" w:rsidDel="00000000" w:rsidP="00000000" w:rsidRDefault="00000000" w:rsidRPr="00000000" w14:paraId="00000054">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No tiene</w:t>
            </w:r>
          </w:p>
        </w:tc>
      </w:tr>
    </w:tbl>
    <w:p w:rsidR="00000000" w:rsidDel="00000000" w:rsidP="00000000" w:rsidRDefault="00000000" w:rsidRPr="00000000" w14:paraId="0000005B">
      <w:pPr>
        <w:ind w:left="0" w:hanging="2"/>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C">
      <w:pPr>
        <w:ind w:left="0" w:hanging="2"/>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B. Aporte al Perfil de Egreso</w:t>
      </w:r>
      <w:r w:rsidDel="00000000" w:rsidR="00000000" w:rsidRPr="00000000">
        <w:rPr>
          <w:rtl w:val="0"/>
        </w:rPr>
      </w:r>
    </w:p>
    <w:p w:rsidR="00000000" w:rsidDel="00000000" w:rsidP="00000000" w:rsidRDefault="00000000" w:rsidRPr="00000000" w14:paraId="0000005D">
      <w:pPr>
        <w:ind w:left="0" w:hanging="2"/>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E">
      <w:pPr>
        <w:widowControl w:val="0"/>
        <w:spacing w:after="200" w:line="276" w:lineRule="auto"/>
        <w:ind w:left="0" w:hanging="2"/>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En este curso el alumno analizará las principales teorías de la inteligencia y su impacto en el quehacer docente y por ende en el aprendizaje de sus estudiantes, valorará el logro de aprendizajes profundos y comprensivos en las aulas y conocerá modelos y estrategias para enseñar a pensar, con el fin de aprender en profundidad los contenidos disciplinares. Los futuros docentes van a vivenciar estrategias explícitas de enseñanza del pensamiento, con el fin de que puedan replicar en su práctica docente, apropiándose del currículum desde una mirada que busca la comprensión.  </w:t>
      </w:r>
    </w:p>
    <w:p w:rsidR="00000000" w:rsidDel="00000000" w:rsidP="00000000" w:rsidRDefault="00000000" w:rsidRPr="00000000" w14:paraId="0000005F">
      <w:pPr>
        <w:widowControl w:val="0"/>
        <w:spacing w:after="200" w:line="276" w:lineRule="auto"/>
        <w:ind w:left="0" w:hanging="2"/>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Como futuros profesores/as, tomarán conciencia del impacto que pueden producir en la vida de sus alumnos y tendrán que tomar decisiones respecto al qué y cómo enseñar para que el alumno aprenda lo que tiene que aprender y a la vez adquiera herramientas que le permitan desarrollar un pensamiento de calidad.</w:t>
      </w:r>
    </w:p>
    <w:p w:rsidR="00000000" w:rsidDel="00000000" w:rsidP="00000000" w:rsidRDefault="00000000" w:rsidRPr="00000000" w14:paraId="00000060">
      <w:pPr>
        <w:widowControl w:val="0"/>
        <w:spacing w:after="200" w:line="276" w:lineRule="auto"/>
        <w:ind w:left="0" w:hanging="2"/>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La asignatura Conocimiento disciplinar y desarrollo del pensamiento tributa al desarrollo de las competencias Genéricas Visión Analítica, Visión Global, Eficiencia, Ética y a las competencias específicas: </w:t>
      </w:r>
    </w:p>
    <w:p w:rsidR="00000000" w:rsidDel="00000000" w:rsidP="00000000" w:rsidRDefault="00000000" w:rsidRPr="00000000" w14:paraId="00000061">
      <w:pPr>
        <w:widowControl w:val="0"/>
        <w:spacing w:after="200" w:line="276" w:lineRule="auto"/>
        <w:ind w:left="0" w:hanging="2"/>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Competencia 1: “Compromete a todos los estudiantes con su propio aprendizaje, por medio de experiencias de aprendizaje desafiantes y con propósito, tanto en inglés como en castellano, dando cuenta de un alto dominio disciplinar.” </w:t>
      </w:r>
    </w:p>
    <w:p w:rsidR="00000000" w:rsidDel="00000000" w:rsidP="00000000" w:rsidRDefault="00000000" w:rsidRPr="00000000" w14:paraId="00000062">
      <w:pPr>
        <w:widowControl w:val="0"/>
        <w:spacing w:after="200" w:line="276" w:lineRule="auto"/>
        <w:ind w:left="0" w:hanging="2"/>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Competencia 3: “Crea y gestiona un clima de aula que compromete a los estudiantes con su aprendizaje y el de los demás” </w:t>
      </w:r>
    </w:p>
    <w:p w:rsidR="00000000" w:rsidDel="00000000" w:rsidP="00000000" w:rsidRDefault="00000000" w:rsidRPr="00000000" w14:paraId="00000063">
      <w:pPr>
        <w:widowControl w:val="0"/>
        <w:spacing w:after="200" w:line="276" w:lineRule="auto"/>
        <w:ind w:left="0" w:hanging="2"/>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Competencia 5: “Demuestra profesionalismo en su quehacer docente, en beneficio del aprendizaje de los estudiantes”</w:t>
      </w:r>
    </w:p>
    <w:p w:rsidR="00000000" w:rsidDel="00000000" w:rsidP="00000000" w:rsidRDefault="00000000" w:rsidRPr="00000000" w14:paraId="00000064">
      <w:pPr>
        <w:ind w:left="0" w:hanging="2"/>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5">
      <w:pPr>
        <w:ind w:left="0" w:hanging="2"/>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 Competencias y Resultados de Aprendizaje Generales que desarrolla la asignatura</w:t>
      </w:r>
    </w:p>
    <w:tbl>
      <w:tblPr>
        <w:tblStyle w:val="Table2"/>
        <w:tblW w:w="887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382"/>
        <w:gridCol w:w="4490"/>
        <w:tblGridChange w:id="0">
          <w:tblGrid>
            <w:gridCol w:w="4382"/>
            <w:gridCol w:w="4490"/>
          </w:tblGrid>
        </w:tblGridChange>
      </w:tblGrid>
      <w:tr>
        <w:tc>
          <w:tcPr>
            <w:shd w:fill="d9d9d9" w:val="clear"/>
          </w:tcPr>
          <w:p w:rsidR="00000000" w:rsidDel="00000000" w:rsidP="00000000" w:rsidRDefault="00000000" w:rsidRPr="00000000" w14:paraId="00000066">
            <w:pPr>
              <w:ind w:left="0" w:hanging="2"/>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Competencias Genéricas</w:t>
            </w:r>
            <w:r w:rsidDel="00000000" w:rsidR="00000000" w:rsidRPr="00000000">
              <w:rPr>
                <w:rtl w:val="0"/>
              </w:rPr>
            </w:r>
          </w:p>
        </w:tc>
        <w:tc>
          <w:tcPr>
            <w:shd w:fill="d9d9d9" w:val="clear"/>
          </w:tcPr>
          <w:p w:rsidR="00000000" w:rsidDel="00000000" w:rsidP="00000000" w:rsidRDefault="00000000" w:rsidRPr="00000000" w14:paraId="00000067">
            <w:pPr>
              <w:ind w:left="0" w:hanging="2"/>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Resultados de Aprendizaje Generales</w:t>
            </w:r>
            <w:r w:rsidDel="00000000" w:rsidR="00000000" w:rsidRPr="00000000">
              <w:rPr>
                <w:rtl w:val="0"/>
              </w:rPr>
            </w:r>
          </w:p>
        </w:tc>
      </w:tr>
      <w:tr>
        <w:trPr>
          <w:trHeight w:val="1620" w:hRule="atLeast"/>
        </w:trPr>
        <w:tc>
          <w:tcPr/>
          <w:p w:rsidR="00000000" w:rsidDel="00000000" w:rsidP="00000000" w:rsidRDefault="00000000" w:rsidRPr="00000000" w14:paraId="00000068">
            <w:pPr>
              <w:spacing w:line="360" w:lineRule="auto"/>
              <w:ind w:left="0" w:hanging="2"/>
              <w:jc w:val="both"/>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Visión Analítica</w:t>
            </w:r>
          </w:p>
          <w:p w:rsidR="00000000" w:rsidDel="00000000" w:rsidP="00000000" w:rsidRDefault="00000000" w:rsidRPr="00000000" w14:paraId="00000069">
            <w:pPr>
              <w:spacing w:line="360" w:lineRule="auto"/>
              <w:ind w:left="0" w:hanging="2"/>
              <w:jc w:val="both"/>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Visión Global</w:t>
            </w:r>
          </w:p>
          <w:p w:rsidR="00000000" w:rsidDel="00000000" w:rsidP="00000000" w:rsidRDefault="00000000" w:rsidRPr="00000000" w14:paraId="0000006A">
            <w:pPr>
              <w:spacing w:line="360" w:lineRule="auto"/>
              <w:ind w:left="0" w:hanging="2"/>
              <w:jc w:val="both"/>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Eficiencia</w:t>
            </w:r>
          </w:p>
          <w:p w:rsidR="00000000" w:rsidDel="00000000" w:rsidP="00000000" w:rsidRDefault="00000000" w:rsidRPr="00000000" w14:paraId="0000006B">
            <w:pPr>
              <w:spacing w:line="360" w:lineRule="auto"/>
              <w:ind w:left="0" w:hanging="2"/>
              <w:jc w:val="both"/>
              <w:rPr>
                <w:rFonts w:ascii="Calibri" w:cs="Calibri" w:eastAsia="Calibri" w:hAnsi="Calibri"/>
                <w:sz w:val="22"/>
                <w:szCs w:val="22"/>
              </w:rPr>
            </w:pPr>
            <w:r w:rsidDel="00000000" w:rsidR="00000000" w:rsidRPr="00000000">
              <w:rPr>
                <w:rFonts w:ascii="Calibri" w:cs="Calibri" w:eastAsia="Calibri" w:hAnsi="Calibri"/>
                <w:i w:val="1"/>
                <w:sz w:val="22"/>
                <w:szCs w:val="22"/>
                <w:rtl w:val="0"/>
              </w:rPr>
              <w:t xml:space="preserve">Ética</w:t>
            </w:r>
            <w:r w:rsidDel="00000000" w:rsidR="00000000" w:rsidRPr="00000000">
              <w:rPr>
                <w:rtl w:val="0"/>
              </w:rPr>
            </w:r>
          </w:p>
        </w:tc>
        <w:tc>
          <w:tcPr>
            <w:vMerge w:val="restart"/>
          </w:tcPr>
          <w:p w:rsidR="00000000" w:rsidDel="00000000" w:rsidP="00000000" w:rsidRDefault="00000000" w:rsidRPr="00000000" w14:paraId="0000006C">
            <w:pPr>
              <w:ind w:left="0" w:firstLine="0"/>
              <w:jc w:val="both"/>
              <w:rPr>
                <w:rFonts w:ascii="Calibri" w:cs="Calibri" w:eastAsia="Calibri" w:hAnsi="Calibri"/>
                <w:color w:val="000000"/>
                <w:sz w:val="22"/>
                <w:szCs w:val="22"/>
              </w:rPr>
            </w:pPr>
            <w:bookmarkStart w:colFirst="0" w:colLast="0" w:name="_heading=h.30j0zll" w:id="0"/>
            <w:bookmarkEnd w:id="0"/>
            <w:r w:rsidDel="00000000" w:rsidR="00000000" w:rsidRPr="00000000">
              <w:rPr>
                <w:rFonts w:ascii="Calibri" w:cs="Calibri" w:eastAsia="Calibri" w:hAnsi="Calibri"/>
                <w:color w:val="000000"/>
                <w:sz w:val="22"/>
                <w:szCs w:val="22"/>
                <w:rtl w:val="0"/>
              </w:rPr>
              <w:t xml:space="preserve">Comprende los aportes de las diferentes líneas de investigación en relación al fomento del desarrollo del pensamiento en la sala de clases con el fin de lograr una amplia comprensión del contenido disciplinar.</w:t>
            </w:r>
          </w:p>
          <w:p w:rsidR="00000000" w:rsidDel="00000000" w:rsidP="00000000" w:rsidRDefault="00000000" w:rsidRPr="00000000" w14:paraId="0000006D">
            <w:pPr>
              <w:ind w:left="0" w:hanging="2"/>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6E">
            <w:pPr>
              <w:ind w:left="0" w:firstLine="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Demuestra valoración por el impacto que puede producir en la vida de los alumnos el rol del profesor distinguiendo las decisiones que se toman en el aula respecto del qué y cómo enseñar a los estudiantes.</w:t>
            </w:r>
          </w:p>
        </w:tc>
      </w:tr>
      <w:tr>
        <w:tc>
          <w:tcPr>
            <w:shd w:fill="d9d9d9" w:val="clear"/>
          </w:tcPr>
          <w:p w:rsidR="00000000" w:rsidDel="00000000" w:rsidP="00000000" w:rsidRDefault="00000000" w:rsidRPr="00000000" w14:paraId="0000006F">
            <w:pPr>
              <w:widowControl w:val="0"/>
              <w:pBdr>
                <w:top w:space="0" w:sz="0" w:val="nil"/>
                <w:left w:space="0" w:sz="0" w:val="nil"/>
                <w:bottom w:space="0" w:sz="0" w:val="nil"/>
                <w:right w:space="0" w:sz="0" w:val="nil"/>
                <w:between w:space="0" w:sz="0" w:val="nil"/>
              </w:pBdr>
              <w:spacing w:line="276" w:lineRule="auto"/>
              <w:ind w:left="0" w:hanging="2"/>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Competencias Específicas</w:t>
            </w:r>
          </w:p>
        </w:tc>
        <w:tc>
          <w:tcPr>
            <w:vMerge w:val="continue"/>
          </w:tcPr>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sz w:val="22"/>
                <w:szCs w:val="22"/>
              </w:rPr>
            </w:pPr>
            <w:r w:rsidDel="00000000" w:rsidR="00000000" w:rsidRPr="00000000">
              <w:rPr>
                <w:rtl w:val="0"/>
              </w:rPr>
            </w:r>
          </w:p>
        </w:tc>
      </w:tr>
      <w:tr>
        <w:tc>
          <w:tcPr>
            <w:shd w:fill="ffffff" w:val="clear"/>
          </w:tcPr>
          <w:p w:rsidR="00000000" w:rsidDel="00000000" w:rsidP="00000000" w:rsidRDefault="00000000" w:rsidRPr="00000000" w14:paraId="00000071">
            <w:pPr>
              <w:widowControl w:val="0"/>
              <w:pBdr>
                <w:top w:space="0" w:sz="0" w:val="nil"/>
                <w:left w:space="0" w:sz="0" w:val="nil"/>
                <w:bottom w:space="0" w:sz="0" w:val="nil"/>
                <w:right w:space="0" w:sz="0" w:val="nil"/>
                <w:between w:space="0" w:sz="0" w:val="nil"/>
              </w:pBdr>
              <w:shd w:fill="ffffff" w:val="clear"/>
              <w:spacing w:line="276" w:lineRule="auto"/>
              <w:ind w:left="0" w:hanging="2"/>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Competencia 1:</w:t>
            </w:r>
            <w:r w:rsidDel="00000000" w:rsidR="00000000" w:rsidRPr="00000000">
              <w:rPr>
                <w:rFonts w:ascii="Calibri" w:cs="Calibri" w:eastAsia="Calibri" w:hAnsi="Calibri"/>
                <w:sz w:val="22"/>
                <w:szCs w:val="22"/>
                <w:rtl w:val="0"/>
              </w:rPr>
              <w:t xml:space="preserve"> Compromete a todos los estudiantes con su propio aprendizaje, por medio de experiencias de aprendizaje desafiantes y con propósito, tanto en inglés como en castellano, dando cuenta de un alto dominio disciplinar.</w:t>
            </w:r>
          </w:p>
          <w:p w:rsidR="00000000" w:rsidDel="00000000" w:rsidP="00000000" w:rsidRDefault="00000000" w:rsidRPr="00000000" w14:paraId="00000072">
            <w:pPr>
              <w:widowControl w:val="0"/>
              <w:pBdr>
                <w:top w:space="0" w:sz="0" w:val="nil"/>
                <w:left w:space="0" w:sz="0" w:val="nil"/>
                <w:bottom w:space="0" w:sz="0" w:val="nil"/>
                <w:right w:space="0" w:sz="0" w:val="nil"/>
                <w:between w:space="0" w:sz="0" w:val="nil"/>
              </w:pBdr>
              <w:shd w:fill="ffffff" w:val="clear"/>
              <w:spacing w:line="276" w:lineRule="auto"/>
              <w:ind w:left="0" w:hanging="2"/>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3">
            <w:pPr>
              <w:widowControl w:val="0"/>
              <w:pBdr>
                <w:top w:space="0" w:sz="0" w:val="nil"/>
                <w:left w:space="0" w:sz="0" w:val="nil"/>
                <w:bottom w:space="0" w:sz="0" w:val="nil"/>
                <w:right w:space="0" w:sz="0" w:val="nil"/>
                <w:between w:space="0" w:sz="0" w:val="nil"/>
              </w:pBdr>
              <w:shd w:fill="ffffff" w:val="clear"/>
              <w:spacing w:line="276" w:lineRule="auto"/>
              <w:ind w:left="0" w:hanging="2"/>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Competencia 3:</w:t>
            </w:r>
            <w:r w:rsidDel="00000000" w:rsidR="00000000" w:rsidRPr="00000000">
              <w:rPr>
                <w:rFonts w:ascii="Calibri" w:cs="Calibri" w:eastAsia="Calibri" w:hAnsi="Calibri"/>
                <w:sz w:val="22"/>
                <w:szCs w:val="22"/>
                <w:rtl w:val="0"/>
              </w:rPr>
              <w:t xml:space="preserve"> Crea y gestiona un clima de aula que compromete a los estudiantes con su aprendizaje y el de los demás” </w:t>
            </w:r>
          </w:p>
          <w:p w:rsidR="00000000" w:rsidDel="00000000" w:rsidP="00000000" w:rsidRDefault="00000000" w:rsidRPr="00000000" w14:paraId="00000074">
            <w:pPr>
              <w:widowControl w:val="0"/>
              <w:pBdr>
                <w:top w:space="0" w:sz="0" w:val="nil"/>
                <w:left w:space="0" w:sz="0" w:val="nil"/>
                <w:bottom w:space="0" w:sz="0" w:val="nil"/>
                <w:right w:space="0" w:sz="0" w:val="nil"/>
                <w:between w:space="0" w:sz="0" w:val="nil"/>
              </w:pBdr>
              <w:spacing w:line="276" w:lineRule="auto"/>
              <w:ind w:left="0" w:hanging="2"/>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5">
            <w:pPr>
              <w:ind w:left="0" w:hanging="2"/>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Competencia 5:</w:t>
            </w:r>
            <w:r w:rsidDel="00000000" w:rsidR="00000000" w:rsidRPr="00000000">
              <w:rPr>
                <w:rFonts w:ascii="Calibri" w:cs="Calibri" w:eastAsia="Calibri" w:hAnsi="Calibri"/>
                <w:sz w:val="22"/>
                <w:szCs w:val="22"/>
                <w:rtl w:val="0"/>
              </w:rPr>
              <w:t xml:space="preserve"> Demuestra profesionalismo en su quehacer docente, en beneficio del aprendizaje de los estudiantes.</w:t>
            </w:r>
          </w:p>
        </w:tc>
        <w:tc>
          <w:tcPr>
            <w:vMerge w:val="continue"/>
          </w:tcPr>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077">
      <w:pPr>
        <w:ind w:left="0" w:hanging="2"/>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8">
      <w:pPr>
        <w:ind w:left="0" w:hanging="2"/>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9">
      <w:pPr>
        <w:ind w:left="0" w:hanging="2"/>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A">
      <w:pPr>
        <w:ind w:left="0" w:hanging="2"/>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D. Unidades de Contenido y Resultados de Aprendizaje</w:t>
      </w:r>
    </w:p>
    <w:p w:rsidR="00000000" w:rsidDel="00000000" w:rsidP="00000000" w:rsidRDefault="00000000" w:rsidRPr="00000000" w14:paraId="0000007B">
      <w:pPr>
        <w:ind w:left="0" w:hanging="2"/>
        <w:jc w:val="both"/>
        <w:rPr>
          <w:rFonts w:ascii="Calibri" w:cs="Calibri" w:eastAsia="Calibri" w:hAnsi="Calibri"/>
          <w:b w:val="1"/>
          <w:sz w:val="22"/>
          <w:szCs w:val="22"/>
        </w:rPr>
      </w:pPr>
      <w:r w:rsidDel="00000000" w:rsidR="00000000" w:rsidRPr="00000000">
        <w:rPr>
          <w:rtl w:val="0"/>
        </w:rPr>
      </w:r>
    </w:p>
    <w:tbl>
      <w:tblPr>
        <w:tblStyle w:val="Table3"/>
        <w:tblW w:w="898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60"/>
        <w:gridCol w:w="1701"/>
        <w:gridCol w:w="4619"/>
        <w:tblGridChange w:id="0">
          <w:tblGrid>
            <w:gridCol w:w="2660"/>
            <w:gridCol w:w="1701"/>
            <w:gridCol w:w="4619"/>
          </w:tblGrid>
        </w:tblGridChange>
      </w:tblGrid>
      <w:tr>
        <w:tc>
          <w:tcPr/>
          <w:p w:rsidR="00000000" w:rsidDel="00000000" w:rsidP="00000000" w:rsidRDefault="00000000" w:rsidRPr="00000000" w14:paraId="0000007C">
            <w:pPr>
              <w:ind w:left="0" w:hanging="2"/>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Unidades de Contenido</w:t>
            </w:r>
            <w:r w:rsidDel="00000000" w:rsidR="00000000" w:rsidRPr="00000000">
              <w:rPr>
                <w:rtl w:val="0"/>
              </w:rPr>
            </w:r>
          </w:p>
        </w:tc>
        <w:tc>
          <w:tcPr/>
          <w:p w:rsidR="00000000" w:rsidDel="00000000" w:rsidP="00000000" w:rsidRDefault="00000000" w:rsidRPr="00000000" w14:paraId="0000007D">
            <w:pPr>
              <w:ind w:left="0" w:hanging="2"/>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Competencia</w:t>
            </w:r>
            <w:r w:rsidDel="00000000" w:rsidR="00000000" w:rsidRPr="00000000">
              <w:rPr>
                <w:rtl w:val="0"/>
              </w:rPr>
            </w:r>
          </w:p>
        </w:tc>
        <w:tc>
          <w:tcPr/>
          <w:p w:rsidR="00000000" w:rsidDel="00000000" w:rsidP="00000000" w:rsidRDefault="00000000" w:rsidRPr="00000000" w14:paraId="0000007E">
            <w:pPr>
              <w:ind w:left="0" w:hanging="2"/>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Resultados de aprendizaje</w:t>
            </w:r>
            <w:r w:rsidDel="00000000" w:rsidR="00000000" w:rsidRPr="00000000">
              <w:rPr>
                <w:rtl w:val="0"/>
              </w:rPr>
            </w:r>
          </w:p>
        </w:tc>
      </w:tr>
      <w:tr>
        <w:trPr>
          <w:trHeight w:val="360" w:hRule="atLeast"/>
        </w:trPr>
        <w:tc>
          <w:tcPr/>
          <w:p w:rsidR="00000000" w:rsidDel="00000000" w:rsidP="00000000" w:rsidRDefault="00000000" w:rsidRPr="00000000" w14:paraId="0000007F">
            <w:pPr>
              <w:ind w:left="0" w:hanging="2"/>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Unidad I:</w:t>
            </w:r>
          </w:p>
          <w:p w:rsidR="00000000" w:rsidDel="00000000" w:rsidP="00000000" w:rsidRDefault="00000000" w:rsidRPr="00000000" w14:paraId="00000080">
            <w:pPr>
              <w:ind w:left="0" w:hanging="2"/>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Creencias en torno a inteligencia y </w:t>
            </w:r>
          </w:p>
          <w:p w:rsidR="00000000" w:rsidDel="00000000" w:rsidP="00000000" w:rsidRDefault="00000000" w:rsidRPr="00000000" w14:paraId="00000081">
            <w:p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programas de enseñanza del pensamiento</w:t>
            </w:r>
          </w:p>
        </w:tc>
        <w:tc>
          <w:tcPr/>
          <w:p w:rsidR="00000000" w:rsidDel="00000000" w:rsidP="00000000" w:rsidRDefault="00000000" w:rsidRPr="00000000" w14:paraId="00000082">
            <w:pPr>
              <w:ind w:left="0" w:hanging="2"/>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Compromete a todos los estudiantes con su propio aprendizaje, por medio de experiencias de aprendizaje desafiantes y con propósito, tanto en inglés como en castellano, dando cuenta de un alto dominio disciplinar.</w:t>
            </w:r>
          </w:p>
        </w:tc>
        <w:tc>
          <w:tcPr/>
          <w:p w:rsidR="00000000" w:rsidDel="00000000" w:rsidP="00000000" w:rsidRDefault="00000000" w:rsidRPr="00000000" w14:paraId="00000083">
            <w:pPr>
              <w:ind w:left="0" w:hanging="2"/>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Identifica las problemáticas actuales de la enseñanza del currículum, para lograr aprendizajes de calidad.</w:t>
            </w:r>
          </w:p>
          <w:p w:rsidR="00000000" w:rsidDel="00000000" w:rsidP="00000000" w:rsidRDefault="00000000" w:rsidRPr="00000000" w14:paraId="00000084">
            <w:pPr>
              <w:ind w:left="0" w:hanging="2"/>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5">
            <w:pPr>
              <w:ind w:left="0" w:hanging="2"/>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Analiza y evalúa actitudes y creencias sobre qué es aprender y que es enseñar desde su propia experiencia.</w:t>
            </w:r>
          </w:p>
          <w:p w:rsidR="00000000" w:rsidDel="00000000" w:rsidP="00000000" w:rsidRDefault="00000000" w:rsidRPr="00000000" w14:paraId="00000086">
            <w:pPr>
              <w:ind w:left="0" w:hanging="2"/>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7">
            <w:pPr>
              <w:ind w:left="0" w:hanging="2"/>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Fundamenta el impacto de las creencias en torno a inteligencia en el aprendizaje de las personas:</w:t>
            </w:r>
          </w:p>
          <w:p w:rsidR="00000000" w:rsidDel="00000000" w:rsidP="00000000" w:rsidRDefault="00000000" w:rsidRPr="00000000" w14:paraId="00000088">
            <w:pPr>
              <w:ind w:left="0" w:hanging="2"/>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t>
              <w:tab/>
              <w:t xml:space="preserve">Inteligencia fija/inteligencia en desarrollo.</w:t>
            </w:r>
          </w:p>
          <w:p w:rsidR="00000000" w:rsidDel="00000000" w:rsidP="00000000" w:rsidRDefault="00000000" w:rsidRPr="00000000" w14:paraId="00000089">
            <w:pPr>
              <w:ind w:left="0" w:hanging="2"/>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A">
            <w:pPr>
              <w:ind w:left="0" w:hanging="2"/>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Evalúa programas de enseñanza del pensamiento y su uso considerando variados criterios entre ellos las condiciones del contexto en que se desarrollan:</w:t>
            </w:r>
          </w:p>
          <w:p w:rsidR="00000000" w:rsidDel="00000000" w:rsidP="00000000" w:rsidRDefault="00000000" w:rsidRPr="00000000" w14:paraId="0000008B">
            <w:pPr>
              <w:ind w:left="0" w:hanging="2"/>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t>
              <w:tab/>
              <w:t xml:space="preserve">Programas Stand Alone</w:t>
            </w:r>
          </w:p>
          <w:p w:rsidR="00000000" w:rsidDel="00000000" w:rsidP="00000000" w:rsidRDefault="00000000" w:rsidRPr="00000000" w14:paraId="0000008C">
            <w:pPr>
              <w:ind w:left="0" w:hanging="2"/>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t>
              <w:tab/>
              <w:t xml:space="preserve">Programas infundidos</w:t>
            </w:r>
          </w:p>
          <w:p w:rsidR="00000000" w:rsidDel="00000000" w:rsidP="00000000" w:rsidRDefault="00000000" w:rsidRPr="00000000" w14:paraId="0000008D">
            <w:pPr>
              <w:ind w:left="0" w:hanging="2"/>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t>
              <w:tab/>
              <w:t xml:space="preserve">Enriquecimiento disciplinar</w:t>
            </w:r>
          </w:p>
          <w:p w:rsidR="00000000" w:rsidDel="00000000" w:rsidP="00000000" w:rsidRDefault="00000000" w:rsidRPr="00000000" w14:paraId="0000008E">
            <w:pPr>
              <w:ind w:left="0" w:hanging="2"/>
              <w:jc w:val="both"/>
              <w:rPr>
                <w:rFonts w:ascii="Calibri" w:cs="Calibri" w:eastAsia="Calibri" w:hAnsi="Calibri"/>
                <w:sz w:val="22"/>
                <w:szCs w:val="22"/>
              </w:rPr>
            </w:pPr>
            <w:r w:rsidDel="00000000" w:rsidR="00000000" w:rsidRPr="00000000">
              <w:rPr>
                <w:rtl w:val="0"/>
              </w:rPr>
            </w:r>
          </w:p>
        </w:tc>
      </w:tr>
      <w:tr>
        <w:trPr>
          <w:trHeight w:val="2325" w:hRule="atLeast"/>
        </w:trPr>
        <w:tc>
          <w:tcPr/>
          <w:p w:rsidR="00000000" w:rsidDel="00000000" w:rsidP="00000000" w:rsidRDefault="00000000" w:rsidRPr="00000000" w14:paraId="0000008F">
            <w:pPr>
              <w:ind w:left="0" w:hanging="2"/>
              <w:jc w:val="both"/>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Unidad II: </w:t>
            </w:r>
          </w:p>
          <w:p w:rsidR="00000000" w:rsidDel="00000000" w:rsidP="00000000" w:rsidRDefault="00000000" w:rsidRPr="00000000" w14:paraId="00000090">
            <w:pPr>
              <w:ind w:left="0" w:hanging="2"/>
              <w:jc w:val="both"/>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Pensamiento de orden superior y el aprendizaje comprensivo.</w:t>
            </w:r>
            <w:r w:rsidDel="00000000" w:rsidR="00000000" w:rsidRPr="00000000">
              <w:rPr>
                <w:rtl w:val="0"/>
              </w:rPr>
            </w:r>
          </w:p>
          <w:p w:rsidR="00000000" w:rsidDel="00000000" w:rsidP="00000000" w:rsidRDefault="00000000" w:rsidRPr="00000000" w14:paraId="00000091">
            <w:pPr>
              <w:spacing w:line="240" w:lineRule="auto"/>
              <w:ind w:left="0" w:hanging="2"/>
              <w:jc w:val="both"/>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092">
            <w:pPr>
              <w:ind w:left="0" w:hanging="2"/>
              <w:jc w:val="both"/>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Compromete a todos los estudiantes con su propio aprendizaje, por medio de experiencias de aprendizaje desafiantes y con propósito, tanto en inglés como en castellano, dando cuenta de un alto dominio disciplinar.</w:t>
            </w:r>
            <w:r w:rsidDel="00000000" w:rsidR="00000000" w:rsidRPr="00000000">
              <w:rPr>
                <w:rtl w:val="0"/>
              </w:rPr>
            </w:r>
          </w:p>
        </w:tc>
        <w:tc>
          <w:tcPr/>
          <w:p w:rsidR="00000000" w:rsidDel="00000000" w:rsidP="00000000" w:rsidRDefault="00000000" w:rsidRPr="00000000" w14:paraId="00000093">
            <w:pPr>
              <w:pBdr>
                <w:top w:space="0" w:sz="0" w:val="nil"/>
                <w:left w:space="0" w:sz="0" w:val="nil"/>
                <w:bottom w:space="0" w:sz="0" w:val="nil"/>
                <w:right w:space="0" w:sz="0" w:val="nil"/>
                <w:between w:space="0" w:sz="0" w:val="nil"/>
              </w:pBdr>
              <w:tabs>
                <w:tab w:val="left" w:pos="1170"/>
              </w:tabs>
              <w:spacing w:line="259" w:lineRule="auto"/>
              <w:ind w:left="0" w:firstLine="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Explica y aplica en el aula los atributos del pensamiento de orden superior vinculándolo con una enseñanza centrada en el aprendizaje comprensivo.</w:t>
            </w:r>
          </w:p>
          <w:p w:rsidR="00000000" w:rsidDel="00000000" w:rsidP="00000000" w:rsidRDefault="00000000" w:rsidRPr="00000000" w14:paraId="00000094">
            <w:pPr>
              <w:pBdr>
                <w:top w:space="0" w:sz="0" w:val="nil"/>
                <w:left w:space="0" w:sz="0" w:val="nil"/>
                <w:bottom w:space="0" w:sz="0" w:val="nil"/>
                <w:right w:space="0" w:sz="0" w:val="nil"/>
                <w:between w:space="0" w:sz="0" w:val="nil"/>
              </w:pBdr>
              <w:tabs>
                <w:tab w:val="left" w:pos="1170"/>
              </w:tabs>
              <w:spacing w:line="259" w:lineRule="auto"/>
              <w:ind w:left="0" w:hanging="2"/>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p w:rsidR="00000000" w:rsidDel="00000000" w:rsidP="00000000" w:rsidRDefault="00000000" w:rsidRPr="00000000" w14:paraId="00000095">
            <w:pPr>
              <w:pBdr>
                <w:top w:space="0" w:sz="0" w:val="nil"/>
                <w:left w:space="0" w:sz="0" w:val="nil"/>
                <w:bottom w:space="0" w:sz="0" w:val="nil"/>
                <w:right w:space="0" w:sz="0" w:val="nil"/>
                <w:between w:space="0" w:sz="0" w:val="nil"/>
              </w:pBdr>
              <w:tabs>
                <w:tab w:val="left" w:pos="1170"/>
              </w:tabs>
              <w:spacing w:line="259" w:lineRule="auto"/>
              <w:ind w:left="0" w:hanging="2"/>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Explica las teorías del cambio conceptual, valorando su aporte al desarrollo del pensamiento y a la enseñanza del conocimiento disciplinar. </w:t>
            </w:r>
          </w:p>
          <w:p w:rsidR="00000000" w:rsidDel="00000000" w:rsidP="00000000" w:rsidRDefault="00000000" w:rsidRPr="00000000" w14:paraId="00000096">
            <w:pPr>
              <w:pBdr>
                <w:top w:space="0" w:sz="0" w:val="nil"/>
                <w:left w:space="0" w:sz="0" w:val="nil"/>
                <w:bottom w:space="0" w:sz="0" w:val="nil"/>
                <w:right w:space="0" w:sz="0" w:val="nil"/>
                <w:between w:space="0" w:sz="0" w:val="nil"/>
              </w:pBdr>
              <w:tabs>
                <w:tab w:val="left" w:pos="1170"/>
              </w:tabs>
              <w:spacing w:line="259" w:lineRule="auto"/>
              <w:ind w:left="0" w:hanging="2"/>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97">
            <w:pPr>
              <w:pBdr>
                <w:top w:space="0" w:sz="0" w:val="nil"/>
                <w:left w:space="0" w:sz="0" w:val="nil"/>
                <w:bottom w:space="0" w:sz="0" w:val="nil"/>
                <w:right w:space="0" w:sz="0" w:val="nil"/>
                <w:between w:space="0" w:sz="0" w:val="nil"/>
              </w:pBdr>
              <w:tabs>
                <w:tab w:val="left" w:pos="1170"/>
              </w:tabs>
              <w:spacing w:line="259" w:lineRule="auto"/>
              <w:ind w:left="0" w:hanging="2"/>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Demuestra que comprende los atributos que se encuentran a la base de la enseñanza centrada en la comprensión al:</w:t>
            </w:r>
          </w:p>
          <w:p w:rsidR="00000000" w:rsidDel="00000000" w:rsidP="00000000" w:rsidRDefault="00000000" w:rsidRPr="00000000" w14:paraId="00000098">
            <w:pPr>
              <w:pBdr>
                <w:top w:space="0" w:sz="0" w:val="nil"/>
                <w:left w:space="0" w:sz="0" w:val="nil"/>
                <w:bottom w:space="0" w:sz="0" w:val="nil"/>
                <w:right w:space="0" w:sz="0" w:val="nil"/>
                <w:between w:space="0" w:sz="0" w:val="nil"/>
              </w:pBdr>
              <w:tabs>
                <w:tab w:val="left" w:pos="1170"/>
              </w:tabs>
              <w:spacing w:line="259" w:lineRule="auto"/>
              <w:ind w:left="0" w:firstLine="0"/>
              <w:jc w:val="both"/>
              <w:rPr>
                <w:color w:val="000000"/>
              </w:rPr>
            </w:pPr>
            <w:r w:rsidDel="00000000" w:rsidR="00000000" w:rsidRPr="00000000">
              <w:rPr>
                <w:color w:val="000000"/>
                <w:rtl w:val="0"/>
              </w:rPr>
              <w:t xml:space="preserve">- Argumentar el avance desde las teorías implícitas hacia el conocimiento disciplinario.</w:t>
            </w:r>
          </w:p>
          <w:p w:rsidR="00000000" w:rsidDel="00000000" w:rsidP="00000000" w:rsidRDefault="00000000" w:rsidRPr="00000000" w14:paraId="00000099">
            <w:pPr>
              <w:pBdr>
                <w:top w:space="0" w:sz="0" w:val="nil"/>
                <w:left w:space="0" w:sz="0" w:val="nil"/>
                <w:bottom w:space="0" w:sz="0" w:val="nil"/>
                <w:right w:space="0" w:sz="0" w:val="nil"/>
                <w:between w:space="0" w:sz="0" w:val="nil"/>
              </w:pBdr>
              <w:tabs>
                <w:tab w:val="left" w:pos="1170"/>
              </w:tabs>
              <w:spacing w:line="259" w:lineRule="auto"/>
              <w:ind w:left="0" w:firstLine="0"/>
              <w:jc w:val="both"/>
              <w:rPr>
                <w:color w:val="000000"/>
              </w:rPr>
            </w:pPr>
            <w:r w:rsidDel="00000000" w:rsidR="00000000" w:rsidRPr="00000000">
              <w:rPr>
                <w:color w:val="000000"/>
                <w:rtl w:val="0"/>
              </w:rPr>
              <w:t xml:space="preserve">- Analizar e Identificar sus principales componentes en prácticas docentes.</w:t>
            </w:r>
          </w:p>
          <w:p w:rsidR="00000000" w:rsidDel="00000000" w:rsidP="00000000" w:rsidRDefault="00000000" w:rsidRPr="00000000" w14:paraId="0000009A">
            <w:pPr>
              <w:pBdr>
                <w:top w:space="0" w:sz="0" w:val="nil"/>
                <w:left w:space="0" w:sz="0" w:val="nil"/>
                <w:bottom w:space="0" w:sz="0" w:val="nil"/>
                <w:right w:space="0" w:sz="0" w:val="nil"/>
                <w:between w:space="0" w:sz="0" w:val="nil"/>
              </w:pBdr>
              <w:tabs>
                <w:tab w:val="left" w:pos="1170"/>
              </w:tabs>
              <w:spacing w:line="259" w:lineRule="auto"/>
              <w:ind w:left="0" w:hanging="2"/>
              <w:jc w:val="both"/>
              <w:rPr>
                <w:color w:val="000000"/>
              </w:rPr>
            </w:pPr>
            <w:r w:rsidDel="00000000" w:rsidR="00000000" w:rsidRPr="00000000">
              <w:rPr>
                <w:color w:val="000000"/>
                <w:rtl w:val="0"/>
              </w:rPr>
              <w:t xml:space="preserve">- Explicitar el valor y propósito de la enseñanza de la disciplina tanto en el desarrollo de la sociedad como en la vida del sujeto</w:t>
            </w:r>
          </w:p>
          <w:p w:rsidR="00000000" w:rsidDel="00000000" w:rsidP="00000000" w:rsidRDefault="00000000" w:rsidRPr="00000000" w14:paraId="0000009B">
            <w:pPr>
              <w:pBdr>
                <w:top w:space="0" w:sz="0" w:val="nil"/>
                <w:left w:space="0" w:sz="0" w:val="nil"/>
                <w:bottom w:space="0" w:sz="0" w:val="nil"/>
                <w:right w:space="0" w:sz="0" w:val="nil"/>
                <w:between w:space="0" w:sz="0" w:val="nil"/>
              </w:pBdr>
              <w:tabs>
                <w:tab w:val="left" w:pos="1170"/>
              </w:tabs>
              <w:spacing w:line="259" w:lineRule="auto"/>
              <w:ind w:left="0" w:hanging="2"/>
              <w:jc w:val="both"/>
              <w:rPr>
                <w:color w:val="000000"/>
              </w:rPr>
            </w:pPr>
            <w:r w:rsidDel="00000000" w:rsidR="00000000" w:rsidRPr="00000000">
              <w:rPr>
                <w:color w:val="000000"/>
                <w:rtl w:val="0"/>
              </w:rPr>
              <w:t xml:space="preserve">-Utilizar estrategias didácticas de construcción del conocimiento desde la disciplina y las formas de comunicación propias de estas </w:t>
            </w:r>
          </w:p>
          <w:p w:rsidR="00000000" w:rsidDel="00000000" w:rsidP="00000000" w:rsidRDefault="00000000" w:rsidRPr="00000000" w14:paraId="0000009C">
            <w:pPr>
              <w:ind w:left="0" w:hanging="2"/>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9D">
            <w:pPr>
              <w:ind w:left="0" w:hanging="2"/>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Evalúa objetivos y actividades del Currículum nacional, considerando el marco de enseñanza para la comprensión</w:t>
            </w:r>
          </w:p>
        </w:tc>
      </w:tr>
      <w:tr>
        <w:tc>
          <w:tcPr/>
          <w:p w:rsidR="00000000" w:rsidDel="00000000" w:rsidP="00000000" w:rsidRDefault="00000000" w:rsidRPr="00000000" w14:paraId="0000009E">
            <w:pPr>
              <w:ind w:left="0" w:hanging="2"/>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Unidad III:</w:t>
            </w:r>
          </w:p>
          <w:p w:rsidR="00000000" w:rsidDel="00000000" w:rsidP="00000000" w:rsidRDefault="00000000" w:rsidRPr="00000000" w14:paraId="0000009F">
            <w:pPr>
              <w:ind w:left="0" w:hanging="2"/>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La enseñanza explícita de destrezas intelectuales para aprender comprensivamente</w:t>
            </w:r>
          </w:p>
          <w:p w:rsidR="00000000" w:rsidDel="00000000" w:rsidP="00000000" w:rsidRDefault="00000000" w:rsidRPr="00000000" w14:paraId="000000A0">
            <w:pPr>
              <w:ind w:left="0" w:hanging="2"/>
              <w:jc w:val="both"/>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0A1">
            <w:pPr>
              <w:ind w:left="0" w:hanging="2"/>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Compromete a todos los estudiantes con su propio aprendizaje, por medio de experiencias de aprendizaje desafiantes y con propósito, tanto en inglés como en castellano, dando cuenta de un alto dominio disciplinar.</w:t>
            </w:r>
          </w:p>
          <w:p w:rsidR="00000000" w:rsidDel="00000000" w:rsidP="00000000" w:rsidRDefault="00000000" w:rsidRPr="00000000" w14:paraId="000000A2">
            <w:pPr>
              <w:ind w:left="0" w:hanging="2"/>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3">
            <w:pPr>
              <w:widowControl w:val="0"/>
              <w:pBdr>
                <w:top w:space="0" w:sz="0" w:val="nil"/>
                <w:left w:space="0" w:sz="0" w:val="nil"/>
                <w:bottom w:space="0" w:sz="0" w:val="nil"/>
                <w:right w:space="0" w:sz="0" w:val="nil"/>
                <w:between w:space="0" w:sz="0" w:val="nil"/>
              </w:pBdr>
              <w:spacing w:line="276" w:lineRule="auto"/>
              <w:ind w:left="0" w:hanging="2"/>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Crea y gestiona un clima de aula que compromete a los estudiantes con su aprendizaje y el de los demás” </w:t>
            </w:r>
          </w:p>
          <w:p w:rsidR="00000000" w:rsidDel="00000000" w:rsidP="00000000" w:rsidRDefault="00000000" w:rsidRPr="00000000" w14:paraId="000000A4">
            <w:pPr>
              <w:ind w:left="0" w:hanging="2"/>
              <w:jc w:val="both"/>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0A5">
            <w:pPr>
              <w:ind w:left="0"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Analiza los diferentes tipos de errores en el aula como una oportunidad para conocer la mente de los alumnos y mediar para lograr un aprendizaje comprensivo.</w:t>
            </w:r>
          </w:p>
          <w:p w:rsidR="00000000" w:rsidDel="00000000" w:rsidP="00000000" w:rsidRDefault="00000000" w:rsidRPr="00000000" w14:paraId="000000A6">
            <w:pPr>
              <w:ind w:left="0" w:hanging="2"/>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7">
            <w:pPr>
              <w:ind w:left="0" w:hanging="2"/>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Demuestra que comprenden la importancia de la enseñanza explícita de destrezas intelectuales para aprender comprensivamente el conocimiento disciplinar al: </w:t>
            </w:r>
          </w:p>
          <w:p w:rsidR="00000000" w:rsidDel="00000000" w:rsidP="00000000" w:rsidRDefault="00000000" w:rsidRPr="00000000" w14:paraId="000000A8">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358"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Describir el procedimiento utilizado para aprender una destreza intelectual y utilizarlas como herramientas de profundización de contenidos</w:t>
            </w:r>
          </w:p>
          <w:p w:rsidR="00000000" w:rsidDel="00000000" w:rsidP="00000000" w:rsidRDefault="00000000" w:rsidRPr="00000000" w14:paraId="000000A9">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358"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Fundamentar la importancia de indagar en el pensamiento de los alumnos la estructura de acogida y explorar técnicas de indagación de ésta, relacionándolo con su propia experiencia</w:t>
            </w:r>
          </w:p>
          <w:p w:rsidR="00000000" w:rsidDel="00000000" w:rsidP="00000000" w:rsidRDefault="00000000" w:rsidRPr="00000000" w14:paraId="000000AA">
            <w:pPr>
              <w:ind w:left="0" w:hanging="2"/>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Analiza las planificaciones didácticas identificando en ellas destrezas de pensamiento vinculado a la enseñanza disciplinar.</w:t>
            </w:r>
          </w:p>
          <w:p w:rsidR="00000000" w:rsidDel="00000000" w:rsidP="00000000" w:rsidRDefault="00000000" w:rsidRPr="00000000" w14:paraId="000000AB">
            <w:pPr>
              <w:ind w:left="0" w:hanging="2"/>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C">
            <w:pPr>
              <w:ind w:left="0" w:hanging="2"/>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Argumenta la importancia del desafío cognitivo y mediación para el desarrollo del pensamiento en el aula.</w:t>
            </w:r>
          </w:p>
          <w:p w:rsidR="00000000" w:rsidDel="00000000" w:rsidP="00000000" w:rsidRDefault="00000000" w:rsidRPr="00000000" w14:paraId="000000AD">
            <w:pPr>
              <w:ind w:left="0" w:hanging="2"/>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E">
            <w:pPr>
              <w:ind w:left="0" w:hanging="2"/>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Explica el flujo motivacional como el área en la que se desarrolla el aprendizaje comprensivo y sus implicaciones prácticas.</w:t>
            </w:r>
          </w:p>
          <w:p w:rsidR="00000000" w:rsidDel="00000000" w:rsidP="00000000" w:rsidRDefault="00000000" w:rsidRPr="00000000" w14:paraId="000000AF">
            <w:pPr>
              <w:ind w:left="0" w:hanging="2"/>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0">
            <w:pPr>
              <w:ind w:left="0" w:hanging="2"/>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Demuestra una visión global del desarrollo del pensamiento y su aplicación al aula al:</w:t>
            </w:r>
          </w:p>
          <w:p w:rsidR="00000000" w:rsidDel="00000000" w:rsidP="00000000" w:rsidRDefault="00000000" w:rsidRPr="00000000" w14:paraId="000000B1">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358"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Sustentar la importancia de visibilizar el pensamiento desde el marco constructivista </w:t>
            </w:r>
          </w:p>
          <w:p w:rsidR="00000000" w:rsidDel="00000000" w:rsidP="00000000" w:rsidRDefault="00000000" w:rsidRPr="00000000" w14:paraId="000000B2">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358"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Explicar la importancia de visibilizar el pensamiento de los alumnos en la sala de clases para el logro de metas de comprensión.</w:t>
            </w:r>
          </w:p>
          <w:p w:rsidR="00000000" w:rsidDel="00000000" w:rsidP="00000000" w:rsidRDefault="00000000" w:rsidRPr="00000000" w14:paraId="000000B3">
            <w:pPr>
              <w:ind w:left="0" w:hanging="2"/>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Planifica experiencias de aula donde se desarrollen estrategias de visibilización del pensamiento para lograr metas de comprensión.</w:t>
            </w:r>
          </w:p>
          <w:p w:rsidR="00000000" w:rsidDel="00000000" w:rsidP="00000000" w:rsidRDefault="00000000" w:rsidRPr="00000000" w14:paraId="000000B4">
            <w:pPr>
              <w:ind w:left="0" w:hanging="2"/>
              <w:jc w:val="both"/>
              <w:rPr>
                <w:rFonts w:ascii="Calibri" w:cs="Calibri" w:eastAsia="Calibri" w:hAnsi="Calibri"/>
                <w:color w:val="000000"/>
                <w:sz w:val="22"/>
                <w:szCs w:val="22"/>
              </w:rPr>
            </w:pPr>
            <w:r w:rsidDel="00000000" w:rsidR="00000000" w:rsidRPr="00000000">
              <w:rPr>
                <w:rtl w:val="0"/>
              </w:rPr>
            </w:r>
          </w:p>
        </w:tc>
      </w:tr>
      <w:tr>
        <w:trPr>
          <w:trHeight w:val="716" w:hRule="atLeast"/>
        </w:trPr>
        <w:tc>
          <w:tcPr/>
          <w:p w:rsidR="00000000" w:rsidDel="00000000" w:rsidP="00000000" w:rsidRDefault="00000000" w:rsidRPr="00000000" w14:paraId="000000B5">
            <w:pPr>
              <w:ind w:left="0" w:hanging="2"/>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Unidad IV:</w:t>
            </w:r>
          </w:p>
          <w:p w:rsidR="00000000" w:rsidDel="00000000" w:rsidP="00000000" w:rsidRDefault="00000000" w:rsidRPr="00000000" w14:paraId="000000B6">
            <w:pPr>
              <w:ind w:left="0" w:hanging="2"/>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El rol del docente en la enseñanza del pensamiento: </w:t>
            </w:r>
          </w:p>
          <w:p w:rsidR="00000000" w:rsidDel="00000000" w:rsidP="00000000" w:rsidRDefault="00000000" w:rsidRPr="00000000" w14:paraId="000000B7">
            <w:pPr>
              <w:ind w:left="0" w:hanging="2"/>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estrategias para la generación de procesos de autorregulación en la sala y desarrollo de la autonomía cognitiva</w:t>
            </w:r>
          </w:p>
        </w:tc>
        <w:tc>
          <w:tcPr/>
          <w:p w:rsidR="00000000" w:rsidDel="00000000" w:rsidP="00000000" w:rsidRDefault="00000000" w:rsidRPr="00000000" w14:paraId="000000B8">
            <w:pPr>
              <w:widowControl w:val="0"/>
              <w:pBdr>
                <w:top w:space="0" w:sz="0" w:val="nil"/>
                <w:left w:space="0" w:sz="0" w:val="nil"/>
                <w:bottom w:space="0" w:sz="0" w:val="nil"/>
                <w:right w:space="0" w:sz="0" w:val="nil"/>
                <w:between w:space="0" w:sz="0" w:val="nil"/>
              </w:pBdr>
              <w:spacing w:line="276" w:lineRule="auto"/>
              <w:ind w:left="0" w:hanging="2"/>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Crea y gestiona un clima de aula que compromete a los estudiantes con su aprendizaje y el de los demás” </w:t>
            </w:r>
          </w:p>
          <w:p w:rsidR="00000000" w:rsidDel="00000000" w:rsidP="00000000" w:rsidRDefault="00000000" w:rsidRPr="00000000" w14:paraId="000000B9">
            <w:pPr>
              <w:widowControl w:val="0"/>
              <w:pBdr>
                <w:top w:space="0" w:sz="0" w:val="nil"/>
                <w:left w:space="0" w:sz="0" w:val="nil"/>
                <w:bottom w:space="0" w:sz="0" w:val="nil"/>
                <w:right w:space="0" w:sz="0" w:val="nil"/>
                <w:between w:space="0" w:sz="0" w:val="nil"/>
              </w:pBdr>
              <w:spacing w:line="276" w:lineRule="auto"/>
              <w:ind w:left="0" w:hanging="2"/>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A">
            <w:pPr>
              <w:widowControl w:val="0"/>
              <w:pBdr>
                <w:top w:space="0" w:sz="0" w:val="nil"/>
                <w:left w:space="0" w:sz="0" w:val="nil"/>
                <w:bottom w:space="0" w:sz="0" w:val="nil"/>
                <w:right w:space="0" w:sz="0" w:val="nil"/>
                <w:between w:space="0" w:sz="0" w:val="nil"/>
              </w:pBdr>
              <w:spacing w:line="276" w:lineRule="auto"/>
              <w:ind w:left="0" w:hanging="2"/>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Demuestra profesionalismo en su quehacer docente, en beneficio del aprendizaje de los estudiantes.</w:t>
            </w:r>
          </w:p>
          <w:p w:rsidR="00000000" w:rsidDel="00000000" w:rsidP="00000000" w:rsidRDefault="00000000" w:rsidRPr="00000000" w14:paraId="000000BB">
            <w:pPr>
              <w:ind w:left="0" w:hanging="2"/>
              <w:jc w:val="both"/>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0BC">
            <w:pPr>
              <w:ind w:left="0" w:hanging="2"/>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Explica el rol central de la enseñanza de un pensamiento eficaz para las exigencias de aprendizaje del siglo XXI.</w:t>
            </w:r>
          </w:p>
          <w:p w:rsidR="00000000" w:rsidDel="00000000" w:rsidP="00000000" w:rsidRDefault="00000000" w:rsidRPr="00000000" w14:paraId="000000BD">
            <w:pPr>
              <w:ind w:left="0" w:hanging="2"/>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E">
            <w:pPr>
              <w:ind w:left="0" w:hanging="2"/>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Demuestra valoración por los procesos de Autorregulación al:</w:t>
            </w:r>
          </w:p>
          <w:p w:rsidR="00000000" w:rsidDel="00000000" w:rsidP="00000000" w:rsidRDefault="00000000" w:rsidRPr="00000000" w14:paraId="000000BF">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358"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Autoevaluar desde su experiencia los procesos de autorregulación </w:t>
            </w:r>
          </w:p>
          <w:p w:rsidR="00000000" w:rsidDel="00000000" w:rsidP="00000000" w:rsidRDefault="00000000" w:rsidRPr="00000000" w14:paraId="000000C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358"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Sintetizar la autorregulación como una de las variables centrales para el aprendizaje de calidad y el logro de metas en la vida</w:t>
            </w:r>
          </w:p>
          <w:p w:rsidR="00000000" w:rsidDel="00000000" w:rsidP="00000000" w:rsidRDefault="00000000" w:rsidRPr="00000000" w14:paraId="000000C1">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358"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Diseñar estrategias para la generación de procesos de autorregulación en la sala de clases para niños de diferentes edades entre 1° a 6° básico </w:t>
            </w:r>
          </w:p>
          <w:p w:rsidR="00000000" w:rsidDel="00000000" w:rsidP="00000000" w:rsidRDefault="00000000" w:rsidRPr="00000000" w14:paraId="000000C2">
            <w:pPr>
              <w:ind w:left="0" w:hanging="2"/>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Fundamenta la importancia del desarrollo de la autonomía cognitiva en la escuela desde nivel pre-escolar.</w:t>
            </w:r>
          </w:p>
          <w:p w:rsidR="00000000" w:rsidDel="00000000" w:rsidP="00000000" w:rsidRDefault="00000000" w:rsidRPr="00000000" w14:paraId="000000C3">
            <w:pPr>
              <w:pBdr>
                <w:top w:space="0" w:sz="0" w:val="nil"/>
                <w:left w:space="0" w:sz="0" w:val="nil"/>
                <w:bottom w:space="0" w:sz="0" w:val="nil"/>
                <w:right w:space="0" w:sz="0" w:val="nil"/>
                <w:between w:space="0" w:sz="0" w:val="nil"/>
              </w:pBdr>
              <w:spacing w:line="240" w:lineRule="auto"/>
              <w:ind w:left="0" w:firstLine="0"/>
              <w:jc w:val="both"/>
              <w:rPr>
                <w:rFonts w:ascii="Calibri" w:cs="Calibri" w:eastAsia="Calibri" w:hAnsi="Calibri"/>
                <w:color w:val="000000"/>
                <w:sz w:val="22"/>
                <w:szCs w:val="22"/>
              </w:rPr>
            </w:pPr>
            <w:r w:rsidDel="00000000" w:rsidR="00000000" w:rsidRPr="00000000">
              <w:rPr>
                <w:rtl w:val="0"/>
              </w:rPr>
            </w:r>
          </w:p>
        </w:tc>
      </w:tr>
    </w:tbl>
    <w:p w:rsidR="00000000" w:rsidDel="00000000" w:rsidP="00000000" w:rsidRDefault="00000000" w:rsidRPr="00000000" w14:paraId="000000C4">
      <w:pPr>
        <w:ind w:left="0" w:hanging="2"/>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5">
      <w:pPr>
        <w:ind w:left="0" w:hanging="2"/>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6">
      <w:pPr>
        <w:ind w:left="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7">
      <w:pPr>
        <w:ind w:left="0" w:hanging="2"/>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E. Estrategias de Enseñanza</w:t>
      </w:r>
      <w:r w:rsidDel="00000000" w:rsidR="00000000" w:rsidRPr="00000000">
        <w:rPr>
          <w:rtl w:val="0"/>
        </w:rPr>
      </w:r>
    </w:p>
    <w:p w:rsidR="00000000" w:rsidDel="00000000" w:rsidP="00000000" w:rsidRDefault="00000000" w:rsidRPr="00000000" w14:paraId="000000C8">
      <w:pPr>
        <w:ind w:left="0" w:hanging="2"/>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9">
      <w:pPr>
        <w:spacing w:line="276" w:lineRule="auto"/>
        <w:ind w:left="0" w:hanging="2"/>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En este curso se promueve un trabajo activo y participativo, en donde los alumnos construirán el aprendizaje en conjunto con el docente. Se utilizará una metodología coherente con los modelos de enseñanza del pensamiento que se entregan. Los alumnos experimentaran el aprendizaje de destrezas intelectuales para aprender comprensivamente los contenidos del curso.</w:t>
      </w:r>
    </w:p>
    <w:p w:rsidR="00000000" w:rsidDel="00000000" w:rsidP="00000000" w:rsidRDefault="00000000" w:rsidRPr="00000000" w14:paraId="000000CA">
      <w:pPr>
        <w:spacing w:line="276" w:lineRule="auto"/>
        <w:ind w:left="0" w:hanging="2"/>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El docente a cargo modelará prácticas pedagógicas centradas en el modelo de enseñanza para la comprensión e incentivará procesos de reflexión metacognitivo de las actividades de enseñanza y aprendizaje puestos en juego.</w:t>
      </w:r>
    </w:p>
    <w:p w:rsidR="00000000" w:rsidDel="00000000" w:rsidP="00000000" w:rsidRDefault="00000000" w:rsidRPr="00000000" w14:paraId="000000CB">
      <w:pPr>
        <w:spacing w:line="276" w:lineRule="auto"/>
        <w:ind w:left="0" w:hanging="2"/>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Los estudiantes realizarán actividades de trabajo individual y trabajos grupales con una lógica colaborativa. A su vez, se realizarán actividades de análisis de casos (videos), en las cuales se incentivará la discusión argumentativa que promuevan una reflexión crítica y la búsqueda de soluciones a las problemáticas planteadas. Aplicarán lo aprendido diseñando o mejorando pequeñas situaciones y actividades cercanas a la realidad escolar. </w:t>
      </w:r>
    </w:p>
    <w:p w:rsidR="00000000" w:rsidDel="00000000" w:rsidP="00000000" w:rsidRDefault="00000000" w:rsidRPr="00000000" w14:paraId="000000CC">
      <w:pPr>
        <w:spacing w:line="276" w:lineRule="auto"/>
        <w:ind w:left="0" w:hanging="2"/>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Por último, se realizarán clases expositivas que integrarán preguntas y actividades desafiantes que promuevan procesos de mentales de nivel superior.</w:t>
      </w:r>
    </w:p>
    <w:p w:rsidR="00000000" w:rsidDel="00000000" w:rsidP="00000000" w:rsidRDefault="00000000" w:rsidRPr="00000000" w14:paraId="000000CD">
      <w:pPr>
        <w:ind w:left="0" w:hanging="2"/>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E">
      <w:pPr>
        <w:ind w:left="0" w:hanging="2"/>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F">
      <w:pPr>
        <w:ind w:left="0" w:hanging="2"/>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F. Estrategias de Evaluación </w:t>
      </w:r>
    </w:p>
    <w:p w:rsidR="00000000" w:rsidDel="00000000" w:rsidP="00000000" w:rsidRDefault="00000000" w:rsidRPr="00000000" w14:paraId="000000D0">
      <w:pPr>
        <w:ind w:left="0" w:hanging="2"/>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D1">
      <w:pPr>
        <w:ind w:left="0" w:hanging="2"/>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La evaluación es parte del proceso de enseñanza-aprendizaje del estudiante y, por lo tanto, debe estar al servicio de la calidad del proceso formativo. Adicionalmente, se espera que los procesos evaluativos en su conjunto se diseñen en forma planificada y tomando como referencia los lineamientos que entrega el propio programa de asignatura, el cual explicita los resultados de aprendizaje a desarrollar en cada unidad de contenido. Asimismo, la evaluación debe ser coherente con la metodología con que se han abordado dichas unidades de contenido.</w:t>
      </w:r>
    </w:p>
    <w:p w:rsidR="00000000" w:rsidDel="00000000" w:rsidP="00000000" w:rsidRDefault="00000000" w:rsidRPr="00000000" w14:paraId="000000D2">
      <w:pPr>
        <w:ind w:left="0" w:hanging="2"/>
        <w:jc w:val="both"/>
        <w:rPr>
          <w:rFonts w:ascii="Calibri" w:cs="Calibri" w:eastAsia="Calibri" w:hAnsi="Calibri"/>
          <w:sz w:val="22"/>
          <w:szCs w:val="22"/>
        </w:rPr>
      </w:pPr>
      <w:r w:rsidDel="00000000" w:rsidR="00000000" w:rsidRPr="00000000">
        <w:rPr>
          <w:rtl w:val="0"/>
        </w:rPr>
      </w:r>
    </w:p>
    <w:tbl>
      <w:tblPr>
        <w:tblStyle w:val="Table4"/>
        <w:tblW w:w="9374.0" w:type="dxa"/>
        <w:jc w:val="left"/>
        <w:tblInd w:w="0.0" w:type="dxa"/>
        <w:tblLayout w:type="fixed"/>
        <w:tblLook w:val="0000"/>
      </w:tblPr>
      <w:tblGrid>
        <w:gridCol w:w="9374"/>
        <w:tblGridChange w:id="0">
          <w:tblGrid>
            <w:gridCol w:w="9374"/>
          </w:tblGrid>
        </w:tblGridChange>
      </w:tblGrid>
      <w:tr>
        <w:trPr>
          <w:trHeight w:val="260" w:hRule="atLeast"/>
        </w:trPr>
        <w:tc>
          <w:tcPr>
            <w:shd w:fill="ffffff" w:val="clear"/>
            <w:tcMar>
              <w:top w:w="80.0" w:type="dxa"/>
              <w:left w:w="80.0" w:type="dxa"/>
              <w:bottom w:w="80.0" w:type="dxa"/>
              <w:right w:w="80.0" w:type="dxa"/>
            </w:tcMar>
            <w:vAlign w:val="center"/>
          </w:tcPr>
          <w:p w:rsidR="00000000" w:rsidDel="00000000" w:rsidP="00000000" w:rsidRDefault="00000000" w:rsidRPr="00000000" w14:paraId="000000D3">
            <w:pPr>
              <w:numPr>
                <w:ilvl w:val="0"/>
                <w:numId w:val="2"/>
              </w:numPr>
              <w:ind w:left="720" w:hanging="360"/>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Controles de lectura.</w:t>
            </w:r>
            <w:r w:rsidDel="00000000" w:rsidR="00000000" w:rsidRPr="00000000">
              <w:rPr>
                <w:rtl w:val="0"/>
              </w:rPr>
            </w:r>
          </w:p>
        </w:tc>
      </w:tr>
      <w:tr>
        <w:trPr>
          <w:trHeight w:val="260" w:hRule="atLeast"/>
        </w:trPr>
        <w:tc>
          <w:tcPr>
            <w:shd w:fill="ffffff" w:val="clear"/>
            <w:tcMar>
              <w:top w:w="80.0" w:type="dxa"/>
              <w:left w:w="80.0" w:type="dxa"/>
              <w:bottom w:w="80.0" w:type="dxa"/>
              <w:right w:w="80.0" w:type="dxa"/>
            </w:tcMar>
          </w:tcPr>
          <w:p w:rsidR="00000000" w:rsidDel="00000000" w:rsidP="00000000" w:rsidRDefault="00000000" w:rsidRPr="00000000" w14:paraId="000000D4">
            <w:pPr>
              <w:numPr>
                <w:ilvl w:val="0"/>
                <w:numId w:val="2"/>
              </w:numPr>
              <w:ind w:left="720" w:hanging="360"/>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Taller práctico: Elaboración de estrategia de enseñanza explicita de una destreza intelectual infundida en un contenido disciplinar.</w:t>
            </w:r>
            <w:r w:rsidDel="00000000" w:rsidR="00000000" w:rsidRPr="00000000">
              <w:rPr>
                <w:rtl w:val="0"/>
              </w:rPr>
            </w:r>
          </w:p>
        </w:tc>
      </w:tr>
      <w:tr>
        <w:trPr>
          <w:trHeight w:val="260" w:hRule="atLeast"/>
        </w:trPr>
        <w:tc>
          <w:tcPr>
            <w:shd w:fill="ffffff" w:val="clear"/>
            <w:tcMar>
              <w:top w:w="80.0" w:type="dxa"/>
              <w:left w:w="80.0" w:type="dxa"/>
              <w:bottom w:w="80.0" w:type="dxa"/>
              <w:right w:w="80.0" w:type="dxa"/>
            </w:tcMar>
          </w:tcPr>
          <w:p w:rsidR="00000000" w:rsidDel="00000000" w:rsidP="00000000" w:rsidRDefault="00000000" w:rsidRPr="00000000" w14:paraId="000000D5">
            <w:pPr>
              <w:numPr>
                <w:ilvl w:val="0"/>
                <w:numId w:val="2"/>
              </w:numPr>
              <w:ind w:left="720" w:hanging="360"/>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Taller práctico de análisis de videos.</w:t>
            </w:r>
            <w:r w:rsidDel="00000000" w:rsidR="00000000" w:rsidRPr="00000000">
              <w:rPr>
                <w:rtl w:val="0"/>
              </w:rPr>
            </w:r>
          </w:p>
        </w:tc>
      </w:tr>
      <w:tr>
        <w:trPr>
          <w:trHeight w:val="260" w:hRule="atLeast"/>
        </w:trPr>
        <w:tc>
          <w:tcPr>
            <w:shd w:fill="ffffff" w:val="clear"/>
            <w:tcMar>
              <w:top w:w="80.0" w:type="dxa"/>
              <w:left w:w="80.0" w:type="dxa"/>
              <w:bottom w:w="80.0" w:type="dxa"/>
              <w:right w:w="80.0" w:type="dxa"/>
            </w:tcMar>
          </w:tcPr>
          <w:p w:rsidR="00000000" w:rsidDel="00000000" w:rsidP="00000000" w:rsidRDefault="00000000" w:rsidRPr="00000000" w14:paraId="000000D6">
            <w:pPr>
              <w:numPr>
                <w:ilvl w:val="0"/>
                <w:numId w:val="2"/>
              </w:numPr>
              <w:ind w:left="720" w:hanging="360"/>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Certamen 1: prueba escrita.</w:t>
            </w:r>
            <w:r w:rsidDel="00000000" w:rsidR="00000000" w:rsidRPr="00000000">
              <w:rPr>
                <w:rtl w:val="0"/>
              </w:rPr>
            </w:r>
          </w:p>
        </w:tc>
      </w:tr>
      <w:tr>
        <w:trPr>
          <w:trHeight w:val="260" w:hRule="atLeast"/>
        </w:trPr>
        <w:tc>
          <w:tcPr>
            <w:shd w:fill="ffffff" w:val="clear"/>
            <w:tcMar>
              <w:top w:w="80.0" w:type="dxa"/>
              <w:left w:w="80.0" w:type="dxa"/>
              <w:bottom w:w="80.0" w:type="dxa"/>
              <w:right w:w="80.0" w:type="dxa"/>
            </w:tcMar>
          </w:tcPr>
          <w:p w:rsidR="00000000" w:rsidDel="00000000" w:rsidP="00000000" w:rsidRDefault="00000000" w:rsidRPr="00000000" w14:paraId="000000D7">
            <w:pPr>
              <w:numPr>
                <w:ilvl w:val="0"/>
                <w:numId w:val="2"/>
              </w:numPr>
              <w:ind w:left="720" w:hanging="360"/>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Certamen 2: prueba escrita.</w:t>
            </w:r>
            <w:r w:rsidDel="00000000" w:rsidR="00000000" w:rsidRPr="00000000">
              <w:rPr>
                <w:rtl w:val="0"/>
              </w:rPr>
            </w:r>
          </w:p>
        </w:tc>
      </w:tr>
      <w:tr>
        <w:trPr>
          <w:trHeight w:val="201" w:hRule="atLeast"/>
        </w:trPr>
        <w:tc>
          <w:tcPr>
            <w:shd w:fill="ffffff" w:val="clear"/>
            <w:tcMar>
              <w:top w:w="80.0" w:type="dxa"/>
              <w:left w:w="80.0" w:type="dxa"/>
              <w:bottom w:w="80.0" w:type="dxa"/>
              <w:right w:w="80.0" w:type="dxa"/>
            </w:tcMar>
            <w:vAlign w:val="center"/>
          </w:tcPr>
          <w:p w:rsidR="00000000" w:rsidDel="00000000" w:rsidP="00000000" w:rsidRDefault="00000000" w:rsidRPr="00000000" w14:paraId="000000D8">
            <w:pPr>
              <w:numPr>
                <w:ilvl w:val="0"/>
                <w:numId w:val="2"/>
              </w:numPr>
              <w:ind w:left="720" w:hanging="360"/>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Examen Final.</w:t>
            </w:r>
            <w:r w:rsidDel="00000000" w:rsidR="00000000" w:rsidRPr="00000000">
              <w:rPr>
                <w:rtl w:val="0"/>
              </w:rPr>
            </w:r>
          </w:p>
        </w:tc>
      </w:tr>
    </w:tbl>
    <w:p w:rsidR="00000000" w:rsidDel="00000000" w:rsidP="00000000" w:rsidRDefault="00000000" w:rsidRPr="00000000" w14:paraId="000000D9">
      <w:pPr>
        <w:ind w:left="0" w:hanging="2"/>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DA">
      <w:pPr>
        <w:ind w:left="0" w:hanging="2"/>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G. Recursos de Aprendizaje</w:t>
      </w:r>
      <w:r w:rsidDel="00000000" w:rsidR="00000000" w:rsidRPr="00000000">
        <w:rPr>
          <w:rtl w:val="0"/>
        </w:rPr>
      </w:r>
    </w:p>
    <w:p w:rsidR="00000000" w:rsidDel="00000000" w:rsidP="00000000" w:rsidRDefault="00000000" w:rsidRPr="00000000" w14:paraId="000000DB">
      <w:pPr>
        <w:ind w:left="0" w:hanging="2"/>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DC">
      <w:pPr>
        <w:spacing w:line="360" w:lineRule="auto"/>
        <w:ind w:left="0" w:hanging="2"/>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G.1. Bibliografía Obligatoria: </w:t>
      </w:r>
      <w:r w:rsidDel="00000000" w:rsidR="00000000" w:rsidRPr="00000000">
        <w:rPr>
          <w:rtl w:val="0"/>
        </w:rPr>
      </w:r>
    </w:p>
    <w:p w:rsidR="00000000" w:rsidDel="00000000" w:rsidP="00000000" w:rsidRDefault="00000000" w:rsidRPr="00000000" w14:paraId="000000DD">
      <w:pPr>
        <w:numPr>
          <w:ilvl w:val="0"/>
          <w:numId w:val="3"/>
        </w:numPr>
        <w:pBdr>
          <w:top w:space="0" w:sz="0" w:val="nil"/>
          <w:left w:space="0" w:sz="0" w:val="nil"/>
          <w:bottom w:space="0" w:sz="0" w:val="nil"/>
          <w:right w:space="0" w:sz="0" w:val="nil"/>
          <w:between w:space="0" w:sz="0" w:val="nil"/>
        </w:pBdr>
        <w:spacing w:line="276" w:lineRule="auto"/>
        <w:ind w:left="720" w:hanging="36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Resnik, L., Klopfer, L. (2007) Hacia un currículum para desarrollar el pensamiento: una visión general. En Resnik, L., Klopfer, L. Currículum y cognición. Cap. 1 (pp 15-42) Buenos Aires: Aique.</w:t>
      </w:r>
    </w:p>
    <w:p w:rsidR="00000000" w:rsidDel="00000000" w:rsidP="00000000" w:rsidRDefault="00000000" w:rsidRPr="00000000" w14:paraId="000000DE">
      <w:pPr>
        <w:pBdr>
          <w:top w:space="0" w:sz="0" w:val="nil"/>
          <w:left w:space="0" w:sz="0" w:val="nil"/>
          <w:bottom w:space="0" w:sz="0" w:val="nil"/>
          <w:right w:space="0" w:sz="0" w:val="nil"/>
          <w:between w:space="0" w:sz="0" w:val="nil"/>
        </w:pBdr>
        <w:spacing w:line="276" w:lineRule="auto"/>
        <w:ind w:left="0" w:hanging="2"/>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DF">
      <w:pPr>
        <w:numPr>
          <w:ilvl w:val="0"/>
          <w:numId w:val="3"/>
        </w:numPr>
        <w:pBdr>
          <w:top w:space="0" w:sz="0" w:val="nil"/>
          <w:left w:space="0" w:sz="0" w:val="nil"/>
          <w:bottom w:space="0" w:sz="0" w:val="nil"/>
          <w:right w:space="0" w:sz="0" w:val="nil"/>
          <w:between w:space="0" w:sz="0" w:val="nil"/>
        </w:pBdr>
        <w:spacing w:line="276" w:lineRule="auto"/>
        <w:ind w:left="720" w:hanging="36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Swartz, R. Costa, A. Beyer, B. Reagan, R. Kallick, B. (2008).  Desarrollar un currículo basado en el pensamiento. En Swartz, R. et. al. El aprendizaje basado en el pensamiento. New York: UE</w:t>
      </w:r>
    </w:p>
    <w:p w:rsidR="00000000" w:rsidDel="00000000" w:rsidP="00000000" w:rsidRDefault="00000000" w:rsidRPr="00000000" w14:paraId="000000E0">
      <w:pPr>
        <w:pBdr>
          <w:top w:space="0" w:sz="0" w:val="nil"/>
          <w:left w:space="0" w:sz="0" w:val="nil"/>
          <w:bottom w:space="0" w:sz="0" w:val="nil"/>
          <w:right w:space="0" w:sz="0" w:val="nil"/>
          <w:between w:space="0" w:sz="0" w:val="nil"/>
        </w:pBdr>
        <w:spacing w:line="276" w:lineRule="auto"/>
        <w:ind w:left="0" w:hanging="2"/>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E1">
      <w:pPr>
        <w:numPr>
          <w:ilvl w:val="0"/>
          <w:numId w:val="3"/>
        </w:numPr>
        <w:pBdr>
          <w:top w:space="0" w:sz="0" w:val="nil"/>
          <w:left w:space="0" w:sz="0" w:val="nil"/>
          <w:bottom w:space="0" w:sz="0" w:val="nil"/>
          <w:right w:space="0" w:sz="0" w:val="nil"/>
          <w:between w:space="0" w:sz="0" w:val="nil"/>
        </w:pBdr>
        <w:spacing w:line="276" w:lineRule="auto"/>
        <w:ind w:left="720" w:hanging="36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Marzano, R., Pickering, D., Arredondo, D., Blackburn, G., Brandt, R., Moffett, D., Paynter, J., Pollock, J., Whisler, S. (2005) Dimensiones del aprendizaje. México: Iteso</w:t>
      </w:r>
    </w:p>
    <w:p w:rsidR="00000000" w:rsidDel="00000000" w:rsidP="00000000" w:rsidRDefault="00000000" w:rsidRPr="00000000" w14:paraId="000000E2">
      <w:pPr>
        <w:pBdr>
          <w:top w:space="0" w:sz="0" w:val="nil"/>
          <w:left w:space="0" w:sz="0" w:val="nil"/>
          <w:bottom w:space="0" w:sz="0" w:val="nil"/>
          <w:right w:space="0" w:sz="0" w:val="nil"/>
          <w:between w:space="0" w:sz="0" w:val="nil"/>
        </w:pBdr>
        <w:spacing w:line="276" w:lineRule="auto"/>
        <w:ind w:left="0" w:hanging="2"/>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E3">
      <w:pPr>
        <w:numPr>
          <w:ilvl w:val="0"/>
          <w:numId w:val="3"/>
        </w:numPr>
        <w:pBdr>
          <w:top w:space="0" w:sz="0" w:val="nil"/>
          <w:left w:space="0" w:sz="0" w:val="nil"/>
          <w:bottom w:space="0" w:sz="0" w:val="nil"/>
          <w:right w:space="0" w:sz="0" w:val="nil"/>
          <w:between w:space="0" w:sz="0" w:val="nil"/>
        </w:pBdr>
        <w:spacing w:line="276" w:lineRule="auto"/>
        <w:ind w:left="720" w:hanging="36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Muñoz, L.; y Santa Cruz, J. (2016). El aula Preescolar como espacio de desarrollo cognitivo: tipo de feedback docente y control metacognitivo en los niños. Electronic Journal of Research in Educational Psychology 14(1), 23-44. Disponible en </w:t>
      </w:r>
      <w:hyperlink r:id="rId9">
        <w:r w:rsidDel="00000000" w:rsidR="00000000" w:rsidRPr="00000000">
          <w:rPr>
            <w:rFonts w:ascii="Calibri" w:cs="Calibri" w:eastAsia="Calibri" w:hAnsi="Calibri"/>
            <w:color w:val="000000"/>
            <w:sz w:val="22"/>
            <w:szCs w:val="22"/>
            <w:u w:val="single"/>
            <w:rtl w:val="0"/>
          </w:rPr>
          <w:t xml:space="preserve">http://dx.doi.org/10.14204/ejrep.38.15033</w:t>
        </w:r>
      </w:hyperlink>
      <w:r w:rsidDel="00000000" w:rsidR="00000000" w:rsidRPr="00000000">
        <w:rPr>
          <w:rtl w:val="0"/>
        </w:rPr>
      </w:r>
    </w:p>
    <w:p w:rsidR="00000000" w:rsidDel="00000000" w:rsidP="00000000" w:rsidRDefault="00000000" w:rsidRPr="00000000" w14:paraId="000000E4">
      <w:pPr>
        <w:pBdr>
          <w:top w:space="0" w:sz="0" w:val="nil"/>
          <w:left w:space="0" w:sz="0" w:val="nil"/>
          <w:bottom w:space="0" w:sz="0" w:val="nil"/>
          <w:right w:space="0" w:sz="0" w:val="nil"/>
          <w:between w:space="0" w:sz="0" w:val="nil"/>
        </w:pBdr>
        <w:spacing w:line="276" w:lineRule="auto"/>
        <w:ind w:left="0" w:hanging="2"/>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E5">
      <w:pPr>
        <w:numPr>
          <w:ilvl w:val="0"/>
          <w:numId w:val="3"/>
        </w:numPr>
        <w:pBdr>
          <w:top w:space="0" w:sz="0" w:val="nil"/>
          <w:left w:space="0" w:sz="0" w:val="nil"/>
          <w:bottom w:space="0" w:sz="0" w:val="nil"/>
          <w:right w:space="0" w:sz="0" w:val="nil"/>
          <w:between w:space="0" w:sz="0" w:val="nil"/>
        </w:pBdr>
        <w:spacing w:line="276" w:lineRule="auto"/>
        <w:ind w:left="720" w:hanging="36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Pozo JI, Monereo, C., Castelló, M. (2001) El uso estratégico de conocimiento En: Coll, C., Palacios, J. y Marchesi, A.: Desarrollo Psicológico y Educación. Tomo II. Madrid: Alianza.</w:t>
      </w:r>
    </w:p>
    <w:p w:rsidR="00000000" w:rsidDel="00000000" w:rsidP="00000000" w:rsidRDefault="00000000" w:rsidRPr="00000000" w14:paraId="000000E6">
      <w:pPr>
        <w:pBdr>
          <w:top w:space="0" w:sz="0" w:val="nil"/>
          <w:left w:space="0" w:sz="0" w:val="nil"/>
          <w:bottom w:space="0" w:sz="0" w:val="nil"/>
          <w:right w:space="0" w:sz="0" w:val="nil"/>
          <w:between w:space="0" w:sz="0" w:val="nil"/>
        </w:pBdr>
        <w:spacing w:line="276" w:lineRule="auto"/>
        <w:ind w:left="0" w:hanging="2"/>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E7">
      <w:pPr>
        <w:numPr>
          <w:ilvl w:val="0"/>
          <w:numId w:val="3"/>
        </w:numPr>
        <w:pBdr>
          <w:top w:space="0" w:sz="0" w:val="nil"/>
          <w:left w:space="0" w:sz="0" w:val="nil"/>
          <w:bottom w:space="0" w:sz="0" w:val="nil"/>
          <w:right w:space="0" w:sz="0" w:val="nil"/>
          <w:between w:space="0" w:sz="0" w:val="nil"/>
        </w:pBdr>
        <w:spacing w:line="276" w:lineRule="auto"/>
        <w:ind w:left="720" w:hanging="360"/>
        <w:jc w:val="both"/>
        <w:rPr>
          <w:rFonts w:ascii="Calibri" w:cs="Calibri" w:eastAsia="Calibri" w:hAnsi="Calibri"/>
          <w:color w:val="000000"/>
          <w:sz w:val="22"/>
          <w:szCs w:val="22"/>
        </w:rPr>
      </w:pPr>
      <w:bookmarkStart w:colFirst="0" w:colLast="0" w:name="_heading=h.gjdgxs" w:id="1"/>
      <w:bookmarkEnd w:id="1"/>
      <w:r w:rsidDel="00000000" w:rsidR="00000000" w:rsidRPr="00000000">
        <w:rPr>
          <w:rFonts w:ascii="Calibri" w:cs="Calibri" w:eastAsia="Calibri" w:hAnsi="Calibri"/>
          <w:color w:val="000000"/>
          <w:sz w:val="22"/>
          <w:szCs w:val="22"/>
          <w:rtl w:val="0"/>
        </w:rPr>
        <w:t xml:space="preserve">Santa Cruz, J.; Thomsen, P.,Beas, J., Rodríguez, C. (2011) Análisis de los errores que cometen los alumnos y propuesta de andamiaje para aquellos errores que requieren cambio conceptual. Revista Iberoamericana de Educación, 57/1, 2011. Disponible en </w:t>
      </w:r>
      <w:hyperlink r:id="rId10">
        <w:r w:rsidDel="00000000" w:rsidR="00000000" w:rsidRPr="00000000">
          <w:rPr>
            <w:rFonts w:ascii="Calibri" w:cs="Calibri" w:eastAsia="Calibri" w:hAnsi="Calibri"/>
            <w:color w:val="0000ff"/>
            <w:sz w:val="22"/>
            <w:szCs w:val="22"/>
            <w:u w:val="single"/>
            <w:rtl w:val="0"/>
          </w:rPr>
          <w:t xml:space="preserve">http://www.rieoei.org/rie_contenedor.php?numero=boletin57_1&amp;titulo=Boletin%2057/1%2015-12-11</w:t>
        </w:r>
      </w:hyperlink>
      <w:r w:rsidDel="00000000" w:rsidR="00000000" w:rsidRPr="00000000">
        <w:rPr>
          <w:rtl w:val="0"/>
        </w:rPr>
      </w:r>
    </w:p>
    <w:p w:rsidR="00000000" w:rsidDel="00000000" w:rsidP="00000000" w:rsidRDefault="00000000" w:rsidRPr="00000000" w14:paraId="000000E8">
      <w:pPr>
        <w:pBdr>
          <w:top w:space="0" w:sz="0" w:val="nil"/>
          <w:left w:space="0" w:sz="0" w:val="nil"/>
          <w:bottom w:space="0" w:sz="0" w:val="nil"/>
          <w:right w:space="0" w:sz="0" w:val="nil"/>
          <w:between w:space="0" w:sz="0" w:val="nil"/>
        </w:pBdr>
        <w:spacing w:line="276" w:lineRule="auto"/>
        <w:ind w:left="0" w:hanging="2"/>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E9">
      <w:pPr>
        <w:pBdr>
          <w:top w:space="0" w:sz="0" w:val="nil"/>
          <w:left w:space="0" w:sz="0" w:val="nil"/>
          <w:bottom w:space="0" w:sz="0" w:val="nil"/>
          <w:right w:space="0" w:sz="0" w:val="nil"/>
          <w:between w:space="0" w:sz="0" w:val="nil"/>
        </w:pBdr>
        <w:spacing w:line="276" w:lineRule="auto"/>
        <w:ind w:left="0" w:hanging="2"/>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EA">
      <w:pPr>
        <w:spacing w:line="360" w:lineRule="auto"/>
        <w:ind w:left="0" w:hanging="2"/>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EB">
      <w:pPr>
        <w:spacing w:line="360" w:lineRule="auto"/>
        <w:ind w:left="0" w:hanging="2"/>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G.2. Bibliografía complementaria: </w:t>
      </w:r>
      <w:r w:rsidDel="00000000" w:rsidR="00000000" w:rsidRPr="00000000">
        <w:rPr>
          <w:rtl w:val="0"/>
        </w:rPr>
      </w:r>
    </w:p>
    <w:p w:rsidR="00000000" w:rsidDel="00000000" w:rsidP="00000000" w:rsidRDefault="00000000" w:rsidRPr="00000000" w14:paraId="000000EC">
      <w:pPr>
        <w:pBdr>
          <w:top w:space="0" w:sz="0" w:val="nil"/>
          <w:left w:space="0" w:sz="0" w:val="nil"/>
          <w:bottom w:space="0" w:sz="0" w:val="nil"/>
          <w:right w:space="0" w:sz="0" w:val="nil"/>
          <w:between w:space="0" w:sz="0" w:val="nil"/>
        </w:pBdr>
        <w:spacing w:line="276" w:lineRule="auto"/>
        <w:ind w:left="0" w:hanging="2"/>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ED">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200" w:before="0" w:line="276" w:lineRule="auto"/>
        <w:ind w:left="718"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Claro, S., Paunesku, D. y Dweck, C. S. (2017). Growth mindset tempers the effects of poverty on academic  achievement. Stanford University. Disponible en: </w:t>
      </w:r>
      <w:hyperlink r:id="rId11">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http://www.pnas.org/content/early/2016/07/13/1608207113</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EE">
      <w:pPr>
        <w:pBdr>
          <w:top w:space="0" w:sz="0" w:val="nil"/>
          <w:left w:space="0" w:sz="0" w:val="nil"/>
          <w:bottom w:space="0" w:sz="0" w:val="nil"/>
          <w:right w:space="0" w:sz="0" w:val="nil"/>
          <w:between w:space="0" w:sz="0" w:val="nil"/>
        </w:pBdr>
        <w:spacing w:line="276" w:lineRule="auto"/>
        <w:ind w:left="-2" w:firstLine="0"/>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EF">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200" w:before="0" w:line="276" w:lineRule="auto"/>
        <w:ind w:left="718"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pensamiento en el centro del proceso educativo. En: Ritchart, R. et. al. Hacer visible el pensamiento. Cap. 2 (pp 61-92). Buenos Aires: Paidós.</w:t>
      </w:r>
    </w:p>
    <w:p w:rsidR="00000000" w:rsidDel="00000000" w:rsidP="00000000" w:rsidRDefault="00000000" w:rsidRPr="00000000" w14:paraId="000000F0">
      <w:pPr>
        <w:pBdr>
          <w:top w:space="0" w:sz="0" w:val="nil"/>
          <w:left w:space="0" w:sz="0" w:val="nil"/>
          <w:bottom w:space="0" w:sz="0" w:val="nil"/>
          <w:right w:space="0" w:sz="0" w:val="nil"/>
          <w:between w:space="0" w:sz="0" w:val="nil"/>
        </w:pBdr>
        <w:spacing w:after="160" w:line="259" w:lineRule="auto"/>
        <w:ind w:left="-2" w:firstLine="0"/>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F1">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200" w:before="0" w:line="276" w:lineRule="auto"/>
        <w:ind w:left="718"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Goméz, V., Santa Cruz, J., Thomsen, P. (2007)  En busca del cambio conceptual del profesor en el contexto de la formación permanente. Revista Electrónica Iberoamericana sobre Calidad, Eficacia y Cambio en Educación, 5(5e), pp. 27-31. Disponible en: </w:t>
      </w:r>
      <w:hyperlink r:id="rId12">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http://www.rinace.net/arts/vol5num5e/art3.pdf</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F2">
      <w:pPr>
        <w:pBdr>
          <w:top w:space="0" w:sz="0" w:val="nil"/>
          <w:left w:space="0" w:sz="0" w:val="nil"/>
          <w:bottom w:space="0" w:sz="0" w:val="nil"/>
          <w:right w:space="0" w:sz="0" w:val="nil"/>
          <w:between w:space="0" w:sz="0" w:val="nil"/>
        </w:pBdr>
        <w:spacing w:after="160" w:line="259" w:lineRule="auto"/>
        <w:ind w:left="-2" w:firstLine="0"/>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F3">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200" w:before="0" w:line="276" w:lineRule="auto"/>
        <w:ind w:left="718"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Mateos, M. (2001) Meta cognición y Educación. Buenos Aires: Aique.</w:t>
      </w:r>
    </w:p>
    <w:p w:rsidR="00000000" w:rsidDel="00000000" w:rsidP="00000000" w:rsidRDefault="00000000" w:rsidRPr="00000000" w14:paraId="000000F4">
      <w:pPr>
        <w:pBdr>
          <w:top w:space="0" w:sz="0" w:val="nil"/>
          <w:left w:space="0" w:sz="0" w:val="nil"/>
          <w:bottom w:space="0" w:sz="0" w:val="nil"/>
          <w:right w:space="0" w:sz="0" w:val="nil"/>
          <w:between w:space="0" w:sz="0" w:val="nil"/>
        </w:pBdr>
        <w:spacing w:line="276" w:lineRule="auto"/>
        <w:ind w:left="-2" w:firstLine="0"/>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F5">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200" w:before="0" w:line="276" w:lineRule="auto"/>
        <w:ind w:left="718"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Monereo, C. (2007) Hacia un nuevo paradigma del aprendizaje estratégico: el papel de la mediación social, del self y de las emociones. Revista de investigación educativa, 5 (3); 239-265. Recuperado en: </w:t>
      </w:r>
      <w:hyperlink r:id="rId13">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http://www.investigacionpsicopedagogica.org/revista/articulos/13/espannol/Art_13_206.Pdf</w:t>
        </w:r>
      </w:hyperlink>
      <w:r w:rsidDel="00000000" w:rsidR="00000000" w:rsidRPr="00000000">
        <w:rPr>
          <w:rtl w:val="0"/>
        </w:rPr>
      </w:r>
    </w:p>
    <w:p w:rsidR="00000000" w:rsidDel="00000000" w:rsidP="00000000" w:rsidRDefault="00000000" w:rsidRPr="00000000" w14:paraId="000000F6">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200" w:before="0" w:line="276" w:lineRule="auto"/>
        <w:ind w:left="718"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Perkins, D. (1999) ¿Qué es la comprensión?. En  Stone, M. La enseñanza para la comprensión Cap. 2 (pp 69-92). Buenos Aires: Paidós.  </w:t>
      </w:r>
    </w:p>
    <w:p w:rsidR="00000000" w:rsidDel="00000000" w:rsidP="00000000" w:rsidRDefault="00000000" w:rsidRPr="00000000" w14:paraId="000000F7">
      <w:pPr>
        <w:pBdr>
          <w:top w:space="0" w:sz="0" w:val="nil"/>
          <w:left w:space="0" w:sz="0" w:val="nil"/>
          <w:bottom w:space="0" w:sz="0" w:val="nil"/>
          <w:right w:space="0" w:sz="0" w:val="nil"/>
          <w:between w:space="0" w:sz="0" w:val="nil"/>
        </w:pBdr>
        <w:spacing w:line="276" w:lineRule="auto"/>
        <w:ind w:left="-2" w:firstLine="0"/>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F8">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200" w:before="0" w:line="276" w:lineRule="auto"/>
        <w:ind w:left="718"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PISA 2015, Programa para la Evaluación Internacional de Estudiantes OCDS. </w:t>
      </w:r>
      <w:hyperlink r:id="rId14">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http://archivos.agenciaeducacion.cl/Resultados_PISA2015.pdf</w:t>
        </w:r>
      </w:hyperlink>
      <w:r w:rsidDel="00000000" w:rsidR="00000000" w:rsidRPr="00000000">
        <w:rPr>
          <w:rtl w:val="0"/>
        </w:rPr>
      </w:r>
    </w:p>
    <w:p w:rsidR="00000000" w:rsidDel="00000000" w:rsidP="00000000" w:rsidRDefault="00000000" w:rsidRPr="00000000" w14:paraId="000000F9">
      <w:pPr>
        <w:pBdr>
          <w:top w:space="0" w:sz="0" w:val="nil"/>
          <w:left w:space="0" w:sz="0" w:val="nil"/>
          <w:bottom w:space="0" w:sz="0" w:val="nil"/>
          <w:right w:space="0" w:sz="0" w:val="nil"/>
          <w:between w:space="0" w:sz="0" w:val="nil"/>
        </w:pBdr>
        <w:spacing w:line="276" w:lineRule="auto"/>
        <w:ind w:left="-2" w:firstLine="0"/>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FA">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200" w:before="0" w:line="276" w:lineRule="auto"/>
        <w:ind w:left="718"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Pozo, J.I., Scheuer, N., Mateos, M., Perez Echeverría, M. P. (2006) Las teorías implícitas sobre el aprendizaje y la enseñanza. En: Pozo JI, Scheuer N, Perez P., Mateos M., De la Cruz M. (Eds) Nuevas formas de pensar la enseñanza y el aprendizaje (pp 95- 204) Barcelona: Grao.</w:t>
      </w:r>
    </w:p>
    <w:p w:rsidR="00000000" w:rsidDel="00000000" w:rsidP="00000000" w:rsidRDefault="00000000" w:rsidRPr="00000000" w14:paraId="000000FB">
      <w:pPr>
        <w:pBdr>
          <w:top w:space="0" w:sz="0" w:val="nil"/>
          <w:left w:space="0" w:sz="0" w:val="nil"/>
          <w:bottom w:space="0" w:sz="0" w:val="nil"/>
          <w:right w:space="0" w:sz="0" w:val="nil"/>
          <w:between w:space="0" w:sz="0" w:val="nil"/>
        </w:pBdr>
        <w:spacing w:line="276" w:lineRule="auto"/>
        <w:ind w:left="-2" w:firstLine="0"/>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FC">
      <w:pPr>
        <w:ind w:left="-2" w:firstLine="0"/>
        <w:jc w:val="both"/>
        <w:rPr>
          <w:rFonts w:ascii="Calibri" w:cs="Calibri" w:eastAsia="Calibri" w:hAnsi="Calibri"/>
          <w:sz w:val="22"/>
          <w:szCs w:val="22"/>
        </w:rPr>
      </w:pPr>
      <w:r w:rsidDel="00000000" w:rsidR="00000000" w:rsidRPr="00000000">
        <w:rPr>
          <w:rtl w:val="0"/>
        </w:rPr>
      </w:r>
    </w:p>
    <w:sectPr>
      <w:footerReference r:id="rId15" w:type="default"/>
      <w:footerReference r:id="rId16" w:type="even"/>
      <w:pgSz w:h="15842" w:w="12242" w:orient="portrait"/>
      <w:pgMar w:bottom="993" w:top="1560" w:left="1701" w:right="132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Courier New"/>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D">
    <w:pPr>
      <w:pBdr>
        <w:top w:space="0" w:sz="0" w:val="nil"/>
        <w:left w:space="0" w:sz="0" w:val="nil"/>
        <w:bottom w:space="0" w:sz="0" w:val="nil"/>
        <w:right w:space="0" w:sz="0" w:val="nil"/>
        <w:between w:space="0" w:sz="0" w:val="nil"/>
      </w:pBdr>
      <w:tabs>
        <w:tab w:val="center" w:pos="4252"/>
        <w:tab w:val="right" w:pos="8504"/>
      </w:tabs>
      <w:spacing w:line="240" w:lineRule="auto"/>
      <w:ind w:left="0" w:hanging="2"/>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FE">
    <w:pPr>
      <w:pBdr>
        <w:top w:space="0" w:sz="0" w:val="nil"/>
        <w:left w:space="0" w:sz="0" w:val="nil"/>
        <w:bottom w:space="0" w:sz="0" w:val="nil"/>
        <w:right w:space="0" w:sz="0" w:val="nil"/>
        <w:between w:space="0" w:sz="0" w:val="nil"/>
      </w:pBdr>
      <w:tabs>
        <w:tab w:val="center" w:pos="4252"/>
        <w:tab w:val="right" w:pos="8504"/>
      </w:tabs>
      <w:spacing w:line="240" w:lineRule="auto"/>
      <w:ind w:left="0" w:right="360" w:hanging="2"/>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F">
    <w:pPr>
      <w:pBdr>
        <w:top w:space="0" w:sz="0" w:val="nil"/>
        <w:left w:space="0" w:sz="0" w:val="nil"/>
        <w:bottom w:space="0" w:sz="0" w:val="nil"/>
        <w:right w:space="0" w:sz="0" w:val="nil"/>
        <w:between w:space="0" w:sz="0" w:val="nil"/>
      </w:pBdr>
      <w:tabs>
        <w:tab w:val="center" w:pos="4252"/>
        <w:tab w:val="right" w:pos="8504"/>
      </w:tabs>
      <w:spacing w:line="240" w:lineRule="auto"/>
      <w:ind w:left="0" w:hanging="2"/>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00">
    <w:pPr>
      <w:pBdr>
        <w:top w:space="0" w:sz="0" w:val="nil"/>
        <w:left w:space="0" w:sz="0" w:val="nil"/>
        <w:bottom w:space="0" w:sz="0" w:val="nil"/>
        <w:right w:space="0" w:sz="0" w:val="nil"/>
        <w:between w:space="0" w:sz="0" w:val="nil"/>
      </w:pBdr>
      <w:tabs>
        <w:tab w:val="center" w:pos="4252"/>
        <w:tab w:val="right" w:pos="8504"/>
      </w:tabs>
      <w:spacing w:line="240" w:lineRule="auto"/>
      <w:ind w:left="0" w:right="360" w:hanging="2"/>
      <w:rPr>
        <w:color w:val="00000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
    <w:lvl w:ilvl="0">
      <w:start w:val="1"/>
      <w:numFmt w:val="bullet"/>
      <w:lvlText w:val="●"/>
      <w:lvlJc w:val="left"/>
      <w:pPr>
        <w:ind w:left="718" w:hanging="360"/>
      </w:pPr>
      <w:rPr>
        <w:rFonts w:ascii="Noto Sans Symbols" w:cs="Noto Sans Symbols" w:eastAsia="Noto Sans Symbols" w:hAnsi="Noto Sans Symbols"/>
      </w:rPr>
    </w:lvl>
    <w:lvl w:ilvl="1">
      <w:start w:val="1"/>
      <w:numFmt w:val="bullet"/>
      <w:lvlText w:val="o"/>
      <w:lvlJc w:val="left"/>
      <w:pPr>
        <w:ind w:left="1438" w:hanging="360"/>
      </w:pPr>
      <w:rPr>
        <w:rFonts w:ascii="Courier New" w:cs="Courier New" w:eastAsia="Courier New" w:hAnsi="Courier New"/>
      </w:rPr>
    </w:lvl>
    <w:lvl w:ilvl="2">
      <w:start w:val="1"/>
      <w:numFmt w:val="bullet"/>
      <w:lvlText w:val="▪"/>
      <w:lvlJc w:val="left"/>
      <w:pPr>
        <w:ind w:left="2158" w:hanging="360"/>
      </w:pPr>
      <w:rPr>
        <w:rFonts w:ascii="Noto Sans Symbols" w:cs="Noto Sans Symbols" w:eastAsia="Noto Sans Symbols" w:hAnsi="Noto Sans Symbols"/>
      </w:rPr>
    </w:lvl>
    <w:lvl w:ilvl="3">
      <w:start w:val="1"/>
      <w:numFmt w:val="bullet"/>
      <w:lvlText w:val="●"/>
      <w:lvlJc w:val="left"/>
      <w:pPr>
        <w:ind w:left="2878" w:hanging="360"/>
      </w:pPr>
      <w:rPr>
        <w:rFonts w:ascii="Noto Sans Symbols" w:cs="Noto Sans Symbols" w:eastAsia="Noto Sans Symbols" w:hAnsi="Noto Sans Symbols"/>
      </w:rPr>
    </w:lvl>
    <w:lvl w:ilvl="4">
      <w:start w:val="1"/>
      <w:numFmt w:val="bullet"/>
      <w:lvlText w:val="o"/>
      <w:lvlJc w:val="left"/>
      <w:pPr>
        <w:ind w:left="3598" w:hanging="360"/>
      </w:pPr>
      <w:rPr>
        <w:rFonts w:ascii="Courier New" w:cs="Courier New" w:eastAsia="Courier New" w:hAnsi="Courier New"/>
      </w:rPr>
    </w:lvl>
    <w:lvl w:ilvl="5">
      <w:start w:val="1"/>
      <w:numFmt w:val="bullet"/>
      <w:lvlText w:val="▪"/>
      <w:lvlJc w:val="left"/>
      <w:pPr>
        <w:ind w:left="4318" w:hanging="360"/>
      </w:pPr>
      <w:rPr>
        <w:rFonts w:ascii="Noto Sans Symbols" w:cs="Noto Sans Symbols" w:eastAsia="Noto Sans Symbols" w:hAnsi="Noto Sans Symbols"/>
      </w:rPr>
    </w:lvl>
    <w:lvl w:ilvl="6">
      <w:start w:val="1"/>
      <w:numFmt w:val="bullet"/>
      <w:lvlText w:val="●"/>
      <w:lvlJc w:val="left"/>
      <w:pPr>
        <w:ind w:left="5038" w:hanging="360"/>
      </w:pPr>
      <w:rPr>
        <w:rFonts w:ascii="Noto Sans Symbols" w:cs="Noto Sans Symbols" w:eastAsia="Noto Sans Symbols" w:hAnsi="Noto Sans Symbols"/>
      </w:rPr>
    </w:lvl>
    <w:lvl w:ilvl="7">
      <w:start w:val="1"/>
      <w:numFmt w:val="bullet"/>
      <w:lvlText w:val="o"/>
      <w:lvlJc w:val="left"/>
      <w:pPr>
        <w:ind w:left="5758" w:hanging="360"/>
      </w:pPr>
      <w:rPr>
        <w:rFonts w:ascii="Courier New" w:cs="Courier New" w:eastAsia="Courier New" w:hAnsi="Courier New"/>
      </w:rPr>
    </w:lvl>
    <w:lvl w:ilvl="8">
      <w:start w:val="1"/>
      <w:numFmt w:val="bullet"/>
      <w:lvlText w:val="▪"/>
      <w:lvlJc w:val="left"/>
      <w:pPr>
        <w:ind w:left="6478" w:hanging="360"/>
      </w:pPr>
      <w:rPr>
        <w:rFonts w:ascii="Noto Sans Symbols" w:cs="Noto Sans Symbols" w:eastAsia="Noto Sans Symbols" w:hAnsi="Noto Sans Symbols"/>
      </w:rPr>
    </w:lvl>
  </w:abstractNum>
  <w:abstractNum w:abstractNumId="5">
    <w:lvl w:ilvl="0">
      <w:start w:val="1"/>
      <w:numFmt w:val="bullet"/>
      <w:lvlText w:val="-"/>
      <w:lvlJc w:val="left"/>
      <w:pPr>
        <w:ind w:left="358" w:hanging="360"/>
      </w:pPr>
      <w:rPr>
        <w:rFonts w:ascii="Tahoma" w:cs="Tahoma" w:eastAsia="Tahoma" w:hAnsi="Tahoma"/>
      </w:rPr>
    </w:lvl>
    <w:lvl w:ilvl="1">
      <w:start w:val="1"/>
      <w:numFmt w:val="bullet"/>
      <w:lvlText w:val="o"/>
      <w:lvlJc w:val="left"/>
      <w:pPr>
        <w:ind w:left="1078" w:hanging="360"/>
      </w:pPr>
      <w:rPr>
        <w:rFonts w:ascii="Courier New" w:cs="Courier New" w:eastAsia="Courier New" w:hAnsi="Courier New"/>
      </w:rPr>
    </w:lvl>
    <w:lvl w:ilvl="2">
      <w:start w:val="1"/>
      <w:numFmt w:val="bullet"/>
      <w:lvlText w:val="▪"/>
      <w:lvlJc w:val="left"/>
      <w:pPr>
        <w:ind w:left="1798" w:hanging="360"/>
      </w:pPr>
      <w:rPr>
        <w:rFonts w:ascii="Noto Sans Symbols" w:cs="Noto Sans Symbols" w:eastAsia="Noto Sans Symbols" w:hAnsi="Noto Sans Symbols"/>
      </w:rPr>
    </w:lvl>
    <w:lvl w:ilvl="3">
      <w:start w:val="1"/>
      <w:numFmt w:val="bullet"/>
      <w:lvlText w:val="●"/>
      <w:lvlJc w:val="left"/>
      <w:pPr>
        <w:ind w:left="2518" w:hanging="360"/>
      </w:pPr>
      <w:rPr>
        <w:rFonts w:ascii="Noto Sans Symbols" w:cs="Noto Sans Symbols" w:eastAsia="Noto Sans Symbols" w:hAnsi="Noto Sans Symbols"/>
      </w:rPr>
    </w:lvl>
    <w:lvl w:ilvl="4">
      <w:start w:val="1"/>
      <w:numFmt w:val="bullet"/>
      <w:lvlText w:val="o"/>
      <w:lvlJc w:val="left"/>
      <w:pPr>
        <w:ind w:left="3238" w:hanging="360"/>
      </w:pPr>
      <w:rPr>
        <w:rFonts w:ascii="Courier New" w:cs="Courier New" w:eastAsia="Courier New" w:hAnsi="Courier New"/>
      </w:rPr>
    </w:lvl>
    <w:lvl w:ilvl="5">
      <w:start w:val="1"/>
      <w:numFmt w:val="bullet"/>
      <w:lvlText w:val="▪"/>
      <w:lvlJc w:val="left"/>
      <w:pPr>
        <w:ind w:left="3958" w:hanging="360"/>
      </w:pPr>
      <w:rPr>
        <w:rFonts w:ascii="Noto Sans Symbols" w:cs="Noto Sans Symbols" w:eastAsia="Noto Sans Symbols" w:hAnsi="Noto Sans Symbols"/>
      </w:rPr>
    </w:lvl>
    <w:lvl w:ilvl="6">
      <w:start w:val="1"/>
      <w:numFmt w:val="bullet"/>
      <w:lvlText w:val="●"/>
      <w:lvlJc w:val="left"/>
      <w:pPr>
        <w:ind w:left="4678" w:hanging="360"/>
      </w:pPr>
      <w:rPr>
        <w:rFonts w:ascii="Noto Sans Symbols" w:cs="Noto Sans Symbols" w:eastAsia="Noto Sans Symbols" w:hAnsi="Noto Sans Symbols"/>
      </w:rPr>
    </w:lvl>
    <w:lvl w:ilvl="7">
      <w:start w:val="1"/>
      <w:numFmt w:val="bullet"/>
      <w:lvlText w:val="o"/>
      <w:lvlJc w:val="left"/>
      <w:pPr>
        <w:ind w:left="5398" w:hanging="360"/>
      </w:pPr>
      <w:rPr>
        <w:rFonts w:ascii="Courier New" w:cs="Courier New" w:eastAsia="Courier New" w:hAnsi="Courier New"/>
      </w:rPr>
    </w:lvl>
    <w:lvl w:ilvl="8">
      <w:start w:val="1"/>
      <w:numFmt w:val="bullet"/>
      <w:lvlText w:val="▪"/>
      <w:lvlJc w:val="left"/>
      <w:pPr>
        <w:ind w:left="6118"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ahoma" w:cs="Tahoma" w:eastAsia="Tahoma" w:hAnsi="Tahoma"/>
        <w:lang w:val="es-ES"/>
      </w:rPr>
    </w:rPrDefault>
    <w:pPrDefault>
      <w:pPr>
        <w:ind w:hanging="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widowControl w:val="0"/>
      <w:jc w:val="center"/>
    </w:pPr>
    <w:rPr>
      <w:rFonts w:ascii="Garamond" w:cs="Garamond" w:eastAsia="Garamond" w:hAnsi="Garamond"/>
      <w:b w:val="1"/>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pPr>
      <w:suppressAutoHyphens w:val="1"/>
      <w:spacing w:line="1" w:lineRule="atLeast"/>
      <w:ind w:left="-1" w:leftChars="-1" w:hanging="1" w:hangingChars="1"/>
      <w:textDirection w:val="btLr"/>
      <w:textAlignment w:val="top"/>
      <w:outlineLvl w:val="0"/>
    </w:pPr>
    <w:rPr>
      <w:position w:val="-1"/>
      <w:szCs w:val="24"/>
      <w:lang w:eastAsia="es-ES"/>
    </w:rPr>
  </w:style>
  <w:style w:type="paragraph" w:styleId="Ttulo1">
    <w:name w:val="heading 1"/>
    <w:basedOn w:val="Normal"/>
    <w:next w:val="Normal"/>
    <w:uiPriority w:val="9"/>
    <w:qFormat w:val="1"/>
    <w:pPr>
      <w:keepNext w:val="1"/>
      <w:keepLines w:val="1"/>
      <w:spacing w:after="120" w:before="48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widowControl w:val="0"/>
      <w:jc w:val="center"/>
      <w:outlineLvl w:val="2"/>
    </w:pPr>
    <w:rPr>
      <w:rFonts w:ascii="Garamond" w:hAnsi="Garamond"/>
      <w:b w:val="1"/>
      <w:sz w:val="24"/>
      <w:szCs w:val="20"/>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paragraph" w:styleId="Subttulo">
    <w:name w:val="Subtitle"/>
    <w:basedOn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Textoindependiente2">
    <w:name w:val="Body Text 2"/>
    <w:basedOn w:val="Normal"/>
    <w:pPr>
      <w:overflowPunct w:val="0"/>
      <w:autoSpaceDE w:val="0"/>
      <w:autoSpaceDN w:val="0"/>
      <w:adjustRightInd w:val="0"/>
      <w:ind w:left="360"/>
      <w:textAlignment w:val="baseline"/>
    </w:pPr>
    <w:rPr>
      <w:rFonts w:ascii="Arial" w:hAnsi="Arial"/>
      <w:szCs w:val="20"/>
    </w:rPr>
  </w:style>
  <w:style w:type="paragraph" w:styleId="Textonotapie">
    <w:name w:val="footnote text"/>
    <w:basedOn w:val="Normal"/>
    <w:rPr>
      <w:rFonts w:ascii="Times New Roman" w:hAnsi="Times New Roman"/>
      <w:szCs w:val="20"/>
      <w:lang w:eastAsia="es-CL" w:val="es-CL"/>
    </w:rPr>
  </w:style>
  <w:style w:type="character" w:styleId="Refdenotaalpie">
    <w:name w:val="footnote reference"/>
    <w:rPr>
      <w:w w:val="100"/>
      <w:position w:val="-1"/>
      <w:effect w:val="none"/>
      <w:vertAlign w:val="superscript"/>
      <w:cs w:val="0"/>
      <w:em w:val="none"/>
    </w:rPr>
  </w:style>
  <w:style w:type="table" w:styleId="Tablaconcuadrcula">
    <w:name w:val="Table Grid"/>
    <w:basedOn w:val="Tablanormal"/>
    <w:pPr>
      <w:suppressAutoHyphens w:val="1"/>
      <w:spacing w:line="1" w:lineRule="atLeast"/>
      <w:ind w:left="-1" w:leftChars="-1" w:hanging="1" w:hangingChars="1"/>
      <w:textDirection w:val="btLr"/>
      <w:textAlignment w:val="top"/>
      <w:outlineLvl w:val="0"/>
    </w:pPr>
    <w:rPr>
      <w:position w:val="-1"/>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extosinformato">
    <w:name w:val="Plain Text"/>
    <w:basedOn w:val="Normal"/>
    <w:rPr>
      <w:rFonts w:ascii="Courier New" w:cs="Courier New" w:hAnsi="Courier New"/>
      <w:szCs w:val="20"/>
    </w:rPr>
  </w:style>
  <w:style w:type="paragraph" w:styleId="Textoindependiente">
    <w:name w:val="Body Text"/>
    <w:basedOn w:val="Normal"/>
    <w:pPr>
      <w:spacing w:line="360" w:lineRule="auto"/>
      <w:jc w:val="both"/>
    </w:pPr>
    <w:rPr>
      <w:rFonts w:ascii="Arial" w:cs="Arial" w:hAnsi="Arial"/>
    </w:rPr>
  </w:style>
  <w:style w:type="paragraph" w:styleId="Piedepgina">
    <w:name w:val="footer"/>
    <w:basedOn w:val="Normal"/>
    <w:pPr>
      <w:tabs>
        <w:tab w:val="center" w:pos="4252"/>
        <w:tab w:val="right" w:pos="8504"/>
      </w:tabs>
    </w:pPr>
  </w:style>
  <w:style w:type="character" w:styleId="Nmerodepgina">
    <w:name w:val="page number"/>
    <w:basedOn w:val="Fuentedeprrafopredeter"/>
    <w:rPr>
      <w:w w:val="100"/>
      <w:position w:val="-1"/>
      <w:effect w:val="none"/>
      <w:vertAlign w:val="baseline"/>
      <w:cs w:val="0"/>
      <w:em w:val="none"/>
    </w:rPr>
  </w:style>
  <w:style w:type="paragraph" w:styleId="Encabezado">
    <w:name w:val="header"/>
    <w:basedOn w:val="Normal"/>
    <w:pPr>
      <w:tabs>
        <w:tab w:val="center" w:pos="4252"/>
        <w:tab w:val="right" w:pos="8504"/>
      </w:tabs>
    </w:pPr>
  </w:style>
  <w:style w:type="character" w:styleId="EncabezadoCar" w:customStyle="1">
    <w:name w:val="Encabezado Car"/>
    <w:rPr>
      <w:rFonts w:ascii="Tahoma" w:hAnsi="Tahoma"/>
      <w:w w:val="100"/>
      <w:position w:val="-1"/>
      <w:szCs w:val="24"/>
      <w:effect w:val="none"/>
      <w:vertAlign w:val="baseline"/>
      <w:cs w:val="0"/>
      <w:em w:val="none"/>
    </w:rPr>
  </w:style>
  <w:style w:type="paragraph" w:styleId="Textodeglobo">
    <w:name w:val="Balloon Text"/>
    <w:basedOn w:val="Normal"/>
    <w:rPr>
      <w:sz w:val="16"/>
      <w:szCs w:val="16"/>
    </w:rPr>
  </w:style>
  <w:style w:type="character" w:styleId="TextodegloboCar" w:customStyle="1">
    <w:name w:val="Texto de globo Car"/>
    <w:rPr>
      <w:rFonts w:ascii="Tahoma" w:cs="Tahoma" w:hAnsi="Tahoma"/>
      <w:w w:val="100"/>
      <w:position w:val="-1"/>
      <w:sz w:val="16"/>
      <w:szCs w:val="16"/>
      <w:effect w:val="none"/>
      <w:vertAlign w:val="baseline"/>
      <w:cs w:val="0"/>
      <w:em w:val="none"/>
    </w:rPr>
  </w:style>
  <w:style w:type="paragraph" w:styleId="NormalWeb">
    <w:name w:val="Normal (Web)"/>
    <w:basedOn w:val="Normal"/>
    <w:qFormat w:val="1"/>
    <w:pPr>
      <w:spacing w:after="100" w:afterAutospacing="1" w:before="100" w:beforeAutospacing="1"/>
    </w:pPr>
    <w:rPr>
      <w:rFonts w:ascii="Times New Roman" w:hAnsi="Times New Roman"/>
      <w:sz w:val="24"/>
      <w:lang w:eastAsia="es-CL" w:val="es-CL"/>
    </w:rPr>
  </w:style>
  <w:style w:type="character" w:styleId="Hipervnculo">
    <w:name w:val="Hyperlink"/>
    <w:qFormat w:val="1"/>
    <w:rPr>
      <w:color w:val="0000ff"/>
      <w:w w:val="100"/>
      <w:position w:val="-1"/>
      <w:u w:val="single"/>
      <w:effect w:val="none"/>
      <w:vertAlign w:val="baseline"/>
      <w:cs w:val="0"/>
      <w:em w:val="none"/>
    </w:rPr>
  </w:style>
  <w:style w:type="paragraph" w:styleId="Prrafodelista">
    <w:name w:val="List Paragraph"/>
    <w:basedOn w:val="Normal"/>
    <w:pPr>
      <w:spacing w:after="200" w:line="276" w:lineRule="auto"/>
      <w:ind w:left="720"/>
    </w:pPr>
    <w:rPr>
      <w:rFonts w:ascii="Calibri" w:hAnsi="Calibri"/>
      <w:sz w:val="22"/>
      <w:szCs w:val="22"/>
      <w:lang w:eastAsia="en-US"/>
    </w:rPr>
  </w:style>
  <w:style w:type="character" w:styleId="Refdecomentario">
    <w:name w:val="annotation reference"/>
    <w:rPr>
      <w:w w:val="100"/>
      <w:position w:val="-1"/>
      <w:sz w:val="16"/>
      <w:szCs w:val="16"/>
      <w:effect w:val="none"/>
      <w:vertAlign w:val="baseline"/>
      <w:cs w:val="0"/>
      <w:em w:val="none"/>
    </w:rPr>
  </w:style>
  <w:style w:type="paragraph" w:styleId="Textocomentario">
    <w:name w:val="annotation text"/>
    <w:basedOn w:val="Normal"/>
    <w:pPr>
      <w:suppressAutoHyphens w:val="0"/>
    </w:pPr>
    <w:rPr>
      <w:rFonts w:ascii="Times New Roman" w:hAnsi="Times New Roman"/>
      <w:szCs w:val="20"/>
      <w:lang w:bidi="he-IL" w:eastAsia="he-IL"/>
    </w:rPr>
  </w:style>
  <w:style w:type="character" w:styleId="TextocomentarioCar" w:customStyle="1">
    <w:name w:val="Texto comentario Car"/>
    <w:rPr>
      <w:w w:val="100"/>
      <w:position w:val="-1"/>
      <w:effect w:val="none"/>
      <w:vertAlign w:val="baseline"/>
      <w:cs w:val="0"/>
      <w:em w:val="none"/>
      <w:lang w:bidi="he-IL" w:eastAsia="he-IL"/>
    </w:rPr>
  </w:style>
  <w:style w:type="paragraph" w:styleId="Asuntodelcomentario">
    <w:name w:val="annotation subject"/>
    <w:basedOn w:val="Textocomentario"/>
    <w:next w:val="Textocomentario"/>
    <w:pPr>
      <w:suppressAutoHyphens w:val="1"/>
    </w:pPr>
    <w:rPr>
      <w:rFonts w:ascii="Tahoma" w:hAnsi="Tahoma"/>
      <w:b w:val="1"/>
      <w:bCs w:val="1"/>
      <w:lang w:bidi="ar-SA" w:eastAsia="es-ES"/>
    </w:rPr>
  </w:style>
  <w:style w:type="character" w:styleId="AsuntodelcomentarioCar" w:customStyle="1">
    <w:name w:val="Asunto del comentario Car"/>
    <w:rPr>
      <w:rFonts w:ascii="Tahoma" w:hAnsi="Tahoma"/>
      <w:b w:val="1"/>
      <w:bCs w:val="1"/>
      <w:w w:val="100"/>
      <w:position w:val="-1"/>
      <w:effect w:val="none"/>
      <w:vertAlign w:val="baseline"/>
      <w:cs w:val="0"/>
      <w:em w:val="none"/>
      <w:lang w:bidi="he-IL" w:eastAsia="he-IL"/>
    </w:rPr>
  </w:style>
  <w:style w:type="paragraph" w:styleId="Bibliografa">
    <w:name w:val="Bibliography"/>
    <w:basedOn w:val="Normal"/>
    <w:next w:val="Normal"/>
    <w:qFormat w:val="1"/>
    <w:rPr>
      <w:rFonts w:ascii="Times New Roman" w:hAnsi="Times New Roman"/>
      <w:sz w:val="24"/>
    </w:rPr>
  </w:style>
  <w:style w:type="character" w:styleId="TextosinformatoCar" w:customStyle="1">
    <w:name w:val="Texto sin formato Car"/>
    <w:rPr>
      <w:rFonts w:ascii="Courier New" w:cs="Courier New" w:hAnsi="Courier New"/>
      <w:w w:val="100"/>
      <w:position w:val="-1"/>
      <w:effect w:val="none"/>
      <w:vertAlign w:val="baseline"/>
      <w:cs w:val="0"/>
      <w:em w:val="none"/>
      <w:lang w:eastAsia="es-ES" w:val="es-ES"/>
    </w:rPr>
  </w:style>
  <w:style w:type="character" w:styleId="TextoindependienteCar" w:customStyle="1">
    <w:name w:val="Texto independiente Car"/>
    <w:rPr>
      <w:rFonts w:ascii="Arial" w:cs="Arial" w:hAnsi="Arial"/>
      <w:w w:val="100"/>
      <w:position w:val="-1"/>
      <w:szCs w:val="24"/>
      <w:effect w:val="none"/>
      <w:vertAlign w:val="baseline"/>
      <w:cs w:val="0"/>
      <w:em w:val="none"/>
      <w:lang w:eastAsia="es-ES" w:val="es-ES"/>
    </w:rPr>
  </w:style>
  <w:style w:type="character" w:styleId="Ninguno" w:customStyle="1">
    <w:name w:val="Ninguno"/>
    <w:rPr>
      <w:w w:val="100"/>
      <w:position w:val="-1"/>
      <w:effect w:val="none"/>
      <w:vertAlign w:val="baseline"/>
      <w:cs w:val="0"/>
      <w:em w:val="none"/>
      <w:lang w:val="es-ES"/>
    </w:rPr>
  </w:style>
  <w:style w:type="paragraph" w:styleId="Cuerpo" w:customStyle="1">
    <w:name w:val="Cuerpo"/>
    <w:pPr>
      <w:pBdr>
        <w:top w:space="0" w:sz="0" w:val="nil"/>
        <w:left w:space="0" w:sz="0" w:val="nil"/>
        <w:bottom w:space="0" w:sz="0" w:val="nil"/>
        <w:right w:space="0" w:sz="0" w:val="nil"/>
        <w:between w:space="0" w:sz="0" w:val="nil"/>
        <w:bar w:space="0" w:sz="0" w:val="nil"/>
      </w:pBdr>
      <w:suppressAutoHyphens w:val="1"/>
      <w:spacing w:line="1" w:lineRule="atLeast"/>
      <w:ind w:left="-1" w:leftChars="-1" w:hanging="1" w:hangingChars="1"/>
      <w:textDirection w:val="btLr"/>
      <w:textAlignment w:val="top"/>
      <w:outlineLvl w:val="0"/>
    </w:pPr>
    <w:rPr>
      <w:rFonts w:cs="Arial Unicode MS" w:eastAsia="Arial Unicode MS" w:hAnsi="Arial Unicode MS"/>
      <w:color w:val="000000"/>
      <w:position w:val="-1"/>
      <w:bdr w:space="0" w:sz="0" w:val="nil"/>
      <w:lang w:eastAsia="es-ES"/>
    </w:rPr>
  </w:style>
  <w:style w:type="paragraph" w:styleId="Normal1" w:customStyle="1">
    <w:name w:val="Normal1"/>
    <w:pPr>
      <w:pBdr>
        <w:top w:space="0" w:sz="0" w:val="nil"/>
        <w:left w:space="0" w:sz="0" w:val="nil"/>
        <w:bottom w:space="0" w:sz="0" w:val="nil"/>
        <w:right w:space="0" w:sz="0" w:val="nil"/>
        <w:between w:space="0" w:sz="0" w:val="nil"/>
        <w:bar w:space="0" w:sz="0" w:val="nil"/>
      </w:pBdr>
      <w:suppressAutoHyphens w:val="1"/>
      <w:spacing w:line="1" w:lineRule="atLeast"/>
      <w:ind w:left="-1" w:leftChars="-1" w:hanging="1" w:hangingChars="1"/>
      <w:textDirection w:val="btLr"/>
      <w:textAlignment w:val="top"/>
      <w:outlineLvl w:val="0"/>
    </w:pPr>
    <w:rPr>
      <w:rFonts w:ascii="Cambria" w:cs="Cambria" w:eastAsia="Cambria" w:hAnsi="Cambria"/>
      <w:color w:val="000000"/>
      <w:position w:val="-1"/>
      <w:sz w:val="24"/>
      <w:szCs w:val="24"/>
      <w:bdr w:space="0" w:sz="0" w:val="nil"/>
      <w:lang w:eastAsia="es-ES"/>
    </w:rPr>
  </w:style>
  <w:style w:type="paragraph" w:styleId="BodyText21" w:customStyle="1">
    <w:name w:val="Body Text 21"/>
    <w:basedOn w:val="Normal"/>
    <w:pPr>
      <w:overflowPunct w:val="0"/>
      <w:autoSpaceDE w:val="0"/>
      <w:autoSpaceDN w:val="0"/>
      <w:adjustRightInd w:val="0"/>
      <w:ind w:left="360"/>
      <w:textAlignment w:val="baseline"/>
    </w:pPr>
    <w:rPr>
      <w:rFonts w:ascii="Arial" w:hAnsi="Arial"/>
      <w:szCs w:val="20"/>
    </w:rPr>
  </w:style>
  <w:style w:type="character" w:styleId="Hipervnculovisitado">
    <w:name w:val="FollowedHyperlink"/>
    <w:rPr>
      <w:color w:val="954f72"/>
      <w:w w:val="100"/>
      <w:position w:val="-1"/>
      <w:u w:val="single"/>
      <w:effect w:val="none"/>
      <w:vertAlign w:val="baseline"/>
      <w:cs w:val="0"/>
      <w:em w:val="none"/>
    </w:rPr>
  </w:style>
  <w:style w:type="table" w:styleId="a" w:customStyle="1">
    <w:basedOn w:val="TableNormal"/>
    <w:tblPr>
      <w:tblStyleRowBandSize w:val="1"/>
      <w:tblStyleColBandSize w:val="1"/>
      <w:tblCellMar>
        <w:left w:w="108.0" w:type="dxa"/>
        <w:right w:w="108.0" w:type="dxa"/>
      </w:tblCellMar>
    </w:tblPr>
  </w:style>
  <w:style w:type="table" w:styleId="a0" w:customStyle="1">
    <w:basedOn w:val="TableNormal"/>
    <w:tblPr>
      <w:tblStyleRowBandSize w:val="1"/>
      <w:tblStyleColBandSize w:val="1"/>
      <w:tblCellMar>
        <w:left w:w="108.0" w:type="dxa"/>
        <w:right w:w="108.0" w:type="dxa"/>
      </w:tblCellMar>
    </w:tblPr>
  </w:style>
  <w:style w:type="table" w:styleId="a1" w:customStyle="1">
    <w:basedOn w:val="TableNormal"/>
    <w:tblPr>
      <w:tblStyleRowBandSize w:val="1"/>
      <w:tblStyleColBandSize w:val="1"/>
      <w:tblCellMar>
        <w:left w:w="108.0" w:type="dxa"/>
        <w:right w:w="108.0" w:type="dxa"/>
      </w:tblCellMar>
    </w:tblPr>
  </w:style>
  <w:style w:type="table" w:styleId="a2" w:customStyle="1">
    <w:basedOn w:val="TableNormal"/>
    <w:tblPr>
      <w:tblStyleRowBandSize w:val="1"/>
      <w:tblStyleColBandSize w:val="1"/>
      <w:tblCellMar>
        <w:left w:w="108.0" w:type="dxa"/>
        <w:right w:w="108.0" w:type="dxa"/>
      </w:tblCellMar>
    </w:tblPr>
  </w:style>
  <w:style w:type="table" w:styleId="a3" w:customStyle="1">
    <w:basedOn w:val="TableNormal"/>
    <w:tblPr>
      <w:tblStyleRowBandSize w:val="1"/>
      <w:tblStyleColBandSize w:val="1"/>
      <w:tblCellMar>
        <w:left w:w="108.0" w:type="dxa"/>
        <w:right w:w="108.0" w:type="dxa"/>
      </w:tblCellMar>
    </w:tblPr>
  </w:style>
  <w:style w:type="table" w:styleId="a4" w:customStyle="1">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www.pnas.org/content/early/2016/07/13/1608207113" TargetMode="External"/><Relationship Id="rId10" Type="http://schemas.openxmlformats.org/officeDocument/2006/relationships/hyperlink" Target="http://www.rieoei.org/rie_contenedor.php?numero=boletin57_1&amp;titulo=Boletin%2057/1%2015-12-11" TargetMode="External"/><Relationship Id="rId13" Type="http://schemas.openxmlformats.org/officeDocument/2006/relationships/hyperlink" Target="http://www.investigacionpsicopedagogica.org/revista/articulos/13/espannol/Art_13_206.Pdf" TargetMode="External"/><Relationship Id="rId12" Type="http://schemas.openxmlformats.org/officeDocument/2006/relationships/hyperlink" Target="http://www.rinace.net/arts/vol5num5e/art3.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dx.doi.org/10.14204/ejrep.38.15033" TargetMode="External"/><Relationship Id="rId15" Type="http://schemas.openxmlformats.org/officeDocument/2006/relationships/footer" Target="footer1.xml"/><Relationship Id="rId14" Type="http://schemas.openxmlformats.org/officeDocument/2006/relationships/hyperlink" Target="http://archivos.agenciaeducacion.cl/Resultados_PISA2015.pdf" TargetMode="External"/><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Tahoma-regular.ttf"/><Relationship Id="rId6"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3oUYGPsXB7Eh9ubKWvz7kY3OZUg==">AMUW2mWG+z6TSzCejaKzZTQsZ1TdcbSrpZ4vtj8cUFAZ8JjFGyg53MjLKxx21Sz3o3dRRhsCnRC70VoqSuqCPshRcfkEEn/u5xB9+/9DYcq0GoZ0Smn/Qvx57U6tG7SDkGv3M22JlLcb</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2020-09-03T01:34:00Z</dcterms:created>
  <dc:creator>Florencia Jofré Manieu</dc:creator>
</cp:coreProperties>
</file>